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18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[X] ANNUAL REPORT PURSUANT TO SECTION 13 OR 15(d) OF THE SECURITIES EXCHANGE ACT OF 1934</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fiscal year ended December 31, 2020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4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 ] TRANSITION REPORT PURSUANT TO SECTION 13 OR 15(d) OF THE SECURITIES EXCHANGE ACT OF 1934</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7920" w:type="dxa"/>
            <w:vAlign w:val="bottom"/>
            <w:gridSpan w:val="8"/>
          </w:tcPr>
          <w:p>
            <w:pPr>
              <w:jc w:val="center"/>
              <w:ind w:right="3244"/>
              <w:spacing w:after="0"/>
              <w:rPr>
                <w:sz w:val="20"/>
                <w:szCs w:val="20"/>
                <w:color w:val="auto"/>
              </w:rPr>
            </w:pPr>
            <w:r>
              <w:rPr>
                <w:rFonts w:ascii="Arial" w:cs="Arial" w:eastAsia="Arial" w:hAnsi="Arial"/>
                <w:sz w:val="16"/>
                <w:szCs w:val="16"/>
                <w:color w:val="auto"/>
                <w:w w:val="92"/>
              </w:rPr>
              <w:t>For the transition period from _______________ to _______________</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60" w:type="dxa"/>
            <w:vAlign w:val="bottom"/>
            <w:gridSpan w:val="4"/>
          </w:tcPr>
          <w:p>
            <w:pPr>
              <w:jc w:val="center"/>
              <w:ind w:right="440"/>
              <w:spacing w:after="0"/>
              <w:rPr>
                <w:sz w:val="20"/>
                <w:szCs w:val="20"/>
                <w:color w:val="auto"/>
              </w:rPr>
            </w:pPr>
            <w:r>
              <w:rPr>
                <w:rFonts w:ascii="Arial" w:cs="Arial" w:eastAsia="Arial" w:hAnsi="Arial"/>
                <w:sz w:val="16"/>
                <w:szCs w:val="16"/>
                <w:color w:val="auto"/>
                <w:w w:val="92"/>
              </w:rPr>
              <w:t>Commission file number _______________</w:t>
            </w: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7"/>
        </w:trPr>
        <w:tc>
          <w:tcPr>
            <w:tcW w:w="3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4"/>
          </w:tcPr>
          <w:p>
            <w:pPr>
              <w:jc w:val="center"/>
              <w:ind w:right="440"/>
              <w:spacing w:after="0"/>
              <w:rPr>
                <w:sz w:val="20"/>
                <w:szCs w:val="20"/>
                <w:color w:val="auto"/>
              </w:rPr>
            </w:pPr>
            <w:r>
              <w:rPr>
                <w:rFonts w:ascii="Arial" w:cs="Arial" w:eastAsia="Arial" w:hAnsi="Arial"/>
                <w:sz w:val="40"/>
                <w:szCs w:val="40"/>
                <w:b w:val="1"/>
                <w:bCs w:val="1"/>
                <w:color w:val="auto"/>
                <w:w w:val="97"/>
              </w:rPr>
              <w:t>SEER, INC.</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320" w:type="dxa"/>
            <w:vAlign w:val="bottom"/>
            <w:vMerge w:val="restart"/>
          </w:tcPr>
          <w:p>
            <w:pPr>
              <w:jc w:val="center"/>
              <w:ind w:left="345"/>
              <w:spacing w:after="0"/>
              <w:rPr>
                <w:sz w:val="20"/>
                <w:szCs w:val="20"/>
                <w:color w:val="auto"/>
              </w:rPr>
            </w:pPr>
            <w:r>
              <w:rPr>
                <w:rFonts w:ascii="Arial" w:cs="Arial" w:eastAsia="Arial" w:hAnsi="Arial"/>
                <w:sz w:val="14"/>
                <w:szCs w:val="14"/>
                <w:b w:val="1"/>
                <w:bCs w:val="1"/>
                <w:color w:val="auto"/>
                <w:w w:val="94"/>
              </w:rPr>
              <w:t>Delaware</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60" w:type="dxa"/>
            <w:vAlign w:val="bottom"/>
            <w:vMerge w:val="restart"/>
          </w:tcPr>
          <w:p>
            <w:pPr>
              <w:jc w:val="right"/>
              <w:ind w:right="1464"/>
              <w:spacing w:after="0"/>
              <w:rPr>
                <w:sz w:val="20"/>
                <w:szCs w:val="20"/>
                <w:color w:val="auto"/>
              </w:rPr>
            </w:pPr>
            <w:r>
              <w:rPr>
                <w:rFonts w:ascii="Arial" w:cs="Arial" w:eastAsia="Arial" w:hAnsi="Arial"/>
                <w:sz w:val="14"/>
                <w:szCs w:val="14"/>
                <w:b w:val="1"/>
                <w:bCs w:val="1"/>
                <w:color w:val="auto"/>
              </w:rPr>
              <w:t>82-1153150</w:t>
            </w:r>
          </w:p>
        </w:tc>
        <w:tc>
          <w:tcPr>
            <w:tcW w:w="0" w:type="dxa"/>
            <w:vAlign w:val="bottom"/>
          </w:tcPr>
          <w:p>
            <w:pPr>
              <w:spacing w:after="0"/>
              <w:rPr>
                <w:sz w:val="1"/>
                <w:szCs w:val="1"/>
                <w:color w:val="auto"/>
              </w:rPr>
            </w:pPr>
          </w:p>
        </w:tc>
      </w:tr>
      <w:tr>
        <w:trPr>
          <w:trHeight w:val="251"/>
        </w:trPr>
        <w:tc>
          <w:tcPr>
            <w:tcW w:w="3320" w:type="dxa"/>
            <w:vAlign w:val="bottom"/>
            <w:vMerge w:val="continue"/>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3320" w:type="dxa"/>
            <w:vAlign w:val="bottom"/>
          </w:tcPr>
          <w:p>
            <w:pPr>
              <w:jc w:val="center"/>
              <w:ind w:left="365"/>
              <w:spacing w:after="0"/>
              <w:rPr>
                <w:sz w:val="20"/>
                <w:szCs w:val="20"/>
                <w:color w:val="auto"/>
              </w:rPr>
            </w:pPr>
            <w:r>
              <w:rPr>
                <w:rFonts w:ascii="Arial" w:cs="Arial" w:eastAsia="Arial" w:hAnsi="Arial"/>
                <w:sz w:val="14"/>
                <w:szCs w:val="14"/>
                <w:b w:val="1"/>
                <w:bCs w:val="1"/>
                <w:color w:val="auto"/>
                <w:w w:val="93"/>
              </w:rPr>
              <w:t>(State or other jurisdiction of incorporation or</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60" w:type="dxa"/>
            <w:vAlign w:val="bottom"/>
          </w:tcPr>
          <w:p>
            <w:pPr>
              <w:jc w:val="center"/>
              <w:ind w:right="4"/>
              <w:spacing w:after="0"/>
              <w:rPr>
                <w:sz w:val="20"/>
                <w:szCs w:val="20"/>
                <w:color w:val="auto"/>
              </w:rPr>
            </w:pPr>
            <w:r>
              <w:rPr>
                <w:rFonts w:ascii="Arial" w:cs="Arial" w:eastAsia="Arial" w:hAnsi="Arial"/>
                <w:sz w:val="14"/>
                <w:szCs w:val="14"/>
                <w:b w:val="1"/>
                <w:bCs w:val="1"/>
                <w:color w:val="auto"/>
                <w:w w:val="96"/>
              </w:rPr>
              <w:t>(I.R.S. Employer Identification Number)</w:t>
            </w:r>
          </w:p>
        </w:tc>
        <w:tc>
          <w:tcPr>
            <w:tcW w:w="0" w:type="dxa"/>
            <w:vAlign w:val="bottom"/>
          </w:tcPr>
          <w:p>
            <w:pPr>
              <w:spacing w:after="0"/>
              <w:rPr>
                <w:sz w:val="1"/>
                <w:szCs w:val="1"/>
                <w:color w:val="auto"/>
              </w:rPr>
            </w:pPr>
          </w:p>
        </w:tc>
      </w:tr>
      <w:tr>
        <w:trPr>
          <w:trHeight w:val="186"/>
        </w:trPr>
        <w:tc>
          <w:tcPr>
            <w:tcW w:w="3320" w:type="dxa"/>
            <w:vAlign w:val="bottom"/>
          </w:tcPr>
          <w:p>
            <w:pPr>
              <w:jc w:val="center"/>
              <w:ind w:left="345"/>
              <w:spacing w:after="0"/>
              <w:rPr>
                <w:sz w:val="20"/>
                <w:szCs w:val="20"/>
                <w:color w:val="auto"/>
              </w:rPr>
            </w:pPr>
            <w:r>
              <w:rPr>
                <w:rFonts w:ascii="Arial" w:cs="Arial" w:eastAsia="Arial" w:hAnsi="Arial"/>
                <w:sz w:val="14"/>
                <w:szCs w:val="14"/>
                <w:b w:val="1"/>
                <w:bCs w:val="1"/>
                <w:color w:val="auto"/>
                <w:w w:val="93"/>
              </w:rPr>
              <w:t>organization)</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3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3800 Bridge Parkway, Suite 102</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Redwood City, California 94065</w:t>
            </w:r>
          </w:p>
        </w:tc>
        <w:tc>
          <w:tcPr>
            <w:tcW w:w="3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3820" w:type="dxa"/>
            <w:vAlign w:val="bottom"/>
            <w:gridSpan w:val="4"/>
          </w:tcPr>
          <w:p>
            <w:pPr>
              <w:jc w:val="center"/>
              <w:ind w:left="724"/>
              <w:spacing w:after="0"/>
              <w:rPr>
                <w:sz w:val="20"/>
                <w:szCs w:val="20"/>
                <w:color w:val="auto"/>
              </w:rPr>
            </w:pPr>
            <w:r>
              <w:rPr>
                <w:rFonts w:ascii="Arial" w:cs="Arial" w:eastAsia="Arial" w:hAnsi="Arial"/>
                <w:sz w:val="14"/>
                <w:szCs w:val="14"/>
                <w:b w:val="1"/>
                <w:bCs w:val="1"/>
                <w:color w:val="auto"/>
                <w:w w:val="94"/>
              </w:rPr>
              <w:t>650-453-0000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240" w:type="dxa"/>
            <w:vAlign w:val="bottom"/>
            <w:gridSpan w:val="9"/>
          </w:tcPr>
          <w:p>
            <w:pPr>
              <w:jc w:val="center"/>
              <w:spacing w:after="0"/>
              <w:rPr>
                <w:sz w:val="20"/>
                <w:szCs w:val="20"/>
                <w:color w:val="auto"/>
              </w:rPr>
            </w:pPr>
            <w:r>
              <w:rPr>
                <w:rFonts w:ascii="Arial" w:cs="Arial" w:eastAsia="Arial" w:hAnsi="Arial"/>
                <w:sz w:val="14"/>
                <w:szCs w:val="14"/>
                <w:b w:val="1"/>
                <w:bCs w:val="1"/>
                <w:color w:val="auto"/>
                <w:w w:val="91"/>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80"/>
        </w:trPr>
        <w:tc>
          <w:tcPr>
            <w:tcW w:w="3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4"/>
        </w:trPr>
        <w:tc>
          <w:tcPr>
            <w:tcW w:w="3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0" w:type="dxa"/>
            <w:vAlign w:val="bottom"/>
            <w:gridSpan w:val="6"/>
          </w:tcPr>
          <w:p>
            <w:pPr>
              <w:jc w:val="center"/>
              <w:ind w:right="300"/>
              <w:spacing w:after="0"/>
              <w:rPr>
                <w:sz w:val="20"/>
                <w:szCs w:val="20"/>
                <w:color w:val="auto"/>
              </w:rPr>
            </w:pPr>
            <w:r>
              <w:rPr>
                <w:rFonts w:ascii="Arial" w:cs="Arial" w:eastAsia="Arial" w:hAnsi="Arial"/>
                <w:sz w:val="14"/>
                <w:szCs w:val="14"/>
                <w:color w:val="auto"/>
                <w:w w:val="93"/>
              </w:rPr>
              <w:t>Securities registered pursuant to section 12(g) of the Act: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3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60" w:type="dxa"/>
            <w:vAlign w:val="bottom"/>
            <w:gridSpan w:val="4"/>
          </w:tcPr>
          <w:p>
            <w:pPr>
              <w:jc w:val="center"/>
              <w:ind w:right="460"/>
              <w:spacing w:after="0"/>
              <w:rPr>
                <w:sz w:val="20"/>
                <w:szCs w:val="20"/>
                <w:color w:val="auto"/>
              </w:rPr>
            </w:pPr>
            <w:r>
              <w:rPr>
                <w:rFonts w:ascii="Arial" w:cs="Arial" w:eastAsia="Arial" w:hAnsi="Arial"/>
                <w:sz w:val="16"/>
                <w:szCs w:val="16"/>
                <w:i w:val="1"/>
                <w:iCs w:val="1"/>
                <w:color w:val="auto"/>
                <w:w w:val="94"/>
              </w:rPr>
              <w:t>Copies to:</w:t>
            </w: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20" w:type="dxa"/>
            <w:vAlign w:val="bottom"/>
            <w:tcBorders>
              <w:bottom w:val="single" w:sz="8" w:color="auto"/>
            </w:tcBorders>
          </w:tcPr>
          <w:p>
            <w:pPr>
              <w:jc w:val="center"/>
              <w:ind w:left="585"/>
              <w:spacing w:after="0"/>
              <w:rPr>
                <w:sz w:val="20"/>
                <w:szCs w:val="20"/>
                <w:color w:val="auto"/>
              </w:rPr>
            </w:pPr>
            <w:r>
              <w:rPr>
                <w:rFonts w:ascii="Arial" w:cs="Arial" w:eastAsia="Arial" w:hAnsi="Arial"/>
                <w:sz w:val="16"/>
                <w:szCs w:val="16"/>
                <w:b w:val="1"/>
                <w:bCs w:val="1"/>
                <w:color w:val="auto"/>
                <w:w w:val="88"/>
              </w:rPr>
              <w:t>Title of each class</w:t>
            </w:r>
          </w:p>
        </w:tc>
        <w:tc>
          <w:tcPr>
            <w:tcW w:w="6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6"/>
                <w:szCs w:val="16"/>
                <w:b w:val="1"/>
                <w:bCs w:val="1"/>
                <w:color w:val="auto"/>
                <w:w w:val="91"/>
              </w:rPr>
              <w:t>Trading Symbol(s)</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660" w:type="dxa"/>
            <w:vAlign w:val="bottom"/>
            <w:tcBorders>
              <w:bottom w:val="single" w:sz="8" w:color="auto"/>
            </w:tcBorders>
          </w:tcPr>
          <w:p>
            <w:pPr>
              <w:jc w:val="center"/>
              <w:ind w:right="244"/>
              <w:spacing w:after="0"/>
              <w:rPr>
                <w:sz w:val="20"/>
                <w:szCs w:val="20"/>
                <w:color w:val="auto"/>
              </w:rPr>
            </w:pPr>
            <w:r>
              <w:rPr>
                <w:rFonts w:ascii="Arial" w:cs="Arial" w:eastAsia="Arial" w:hAnsi="Arial"/>
                <w:sz w:val="16"/>
                <w:szCs w:val="16"/>
                <w:b w:val="1"/>
                <w:bCs w:val="1"/>
                <w:color w:val="auto"/>
                <w:w w:val="90"/>
              </w:rPr>
              <w:t>Name of Exchange on which registered</w:t>
            </w:r>
          </w:p>
        </w:tc>
        <w:tc>
          <w:tcPr>
            <w:tcW w:w="0" w:type="dxa"/>
            <w:vAlign w:val="bottom"/>
          </w:tcPr>
          <w:p>
            <w:pPr>
              <w:spacing w:after="0"/>
              <w:rPr>
                <w:sz w:val="1"/>
                <w:szCs w:val="1"/>
                <w:color w:val="auto"/>
              </w:rPr>
            </w:pPr>
          </w:p>
        </w:tc>
      </w:tr>
      <w:tr>
        <w:trPr>
          <w:trHeight w:val="223"/>
        </w:trPr>
        <w:tc>
          <w:tcPr>
            <w:tcW w:w="3320" w:type="dxa"/>
            <w:vAlign w:val="bottom"/>
          </w:tcPr>
          <w:p>
            <w:pPr>
              <w:jc w:val="center"/>
              <w:ind w:left="585"/>
              <w:spacing w:after="0"/>
              <w:rPr>
                <w:sz w:val="20"/>
                <w:szCs w:val="20"/>
                <w:color w:val="auto"/>
              </w:rPr>
            </w:pPr>
            <w:r>
              <w:rPr>
                <w:rFonts w:ascii="Arial" w:cs="Arial" w:eastAsia="Arial" w:hAnsi="Arial"/>
                <w:sz w:val="16"/>
                <w:szCs w:val="16"/>
                <w:color w:val="auto"/>
                <w:w w:val="91"/>
              </w:rPr>
              <w:t>Common Stock, par value $0.00001</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60" w:type="dxa"/>
            <w:vAlign w:val="bottom"/>
            <w:gridSpan w:val="4"/>
          </w:tcPr>
          <w:p>
            <w:pPr>
              <w:jc w:val="center"/>
              <w:ind w:right="460"/>
              <w:spacing w:after="0"/>
              <w:rPr>
                <w:sz w:val="20"/>
                <w:szCs w:val="20"/>
                <w:color w:val="auto"/>
              </w:rPr>
            </w:pPr>
            <w:r>
              <w:rPr>
                <w:rFonts w:ascii="Arial" w:cs="Arial" w:eastAsia="Arial" w:hAnsi="Arial"/>
                <w:sz w:val="16"/>
                <w:szCs w:val="16"/>
                <w:color w:val="auto"/>
                <w:w w:val="91"/>
              </w:rPr>
              <w:t>SEER</w:t>
            </w:r>
          </w:p>
        </w:tc>
        <w:tc>
          <w:tcPr>
            <w:tcW w:w="3660" w:type="dxa"/>
            <w:vAlign w:val="bottom"/>
          </w:tcPr>
          <w:p>
            <w:pPr>
              <w:jc w:val="center"/>
              <w:ind w:right="244"/>
              <w:spacing w:after="0"/>
              <w:rPr>
                <w:sz w:val="20"/>
                <w:szCs w:val="20"/>
                <w:color w:val="auto"/>
              </w:rPr>
            </w:pPr>
            <w:r>
              <w:rPr>
                <w:rFonts w:ascii="Arial" w:cs="Arial" w:eastAsia="Arial" w:hAnsi="Arial"/>
                <w:sz w:val="16"/>
                <w:szCs w:val="16"/>
                <w:color w:val="auto"/>
                <w:w w:val="95"/>
              </w:rPr>
              <w:t>NASDAQ Global Select Market</w:t>
            </w: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358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7"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right="24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jc w:val="both"/>
        <w:ind w:right="18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company,”and "emerging growth company" in Rule 12b-2 of the Exchange Act.</w:t>
      </w:r>
    </w:p>
    <w:p>
      <w:pPr>
        <w:spacing w:after="0" w:line="45" w:lineRule="exact"/>
        <w:rPr>
          <w:sz w:val="24"/>
          <w:szCs w:val="24"/>
          <w:color w:val="auto"/>
        </w:rPr>
      </w:pPr>
    </w:p>
    <w:tbl>
      <w:tblPr>
        <w:tblLayout w:type="fixed"/>
        <w:tblInd w:w="520" w:type="dxa"/>
        <w:tblCellMar>
          <w:top w:w="0" w:type="dxa"/>
          <w:left w:w="0" w:type="dxa"/>
          <w:bottom w:w="0" w:type="dxa"/>
          <w:right w:w="0" w:type="dxa"/>
        </w:tblCellMar>
      </w:tblPr>
      <w:tr>
        <w:trPr>
          <w:trHeight w:val="243"/>
        </w:trPr>
        <w:tc>
          <w:tcPr>
            <w:tcW w:w="1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58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3"/>
        </w:trPr>
        <w:tc>
          <w:tcPr>
            <w:tcW w:w="17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500" w:type="dxa"/>
            <w:vAlign w:val="bottom"/>
          </w:tcPr>
          <w:p>
            <w:pPr>
              <w:ind w:left="2580"/>
              <w:spacing w:after="0"/>
              <w:rPr>
                <w:sz w:val="20"/>
                <w:szCs w:val="20"/>
                <w:color w:val="auto"/>
              </w:rPr>
            </w:pPr>
            <w:r>
              <w:rPr>
                <w:rFonts w:ascii="Arial" w:cs="Arial" w:eastAsia="Arial" w:hAnsi="Arial"/>
                <w:sz w:val="16"/>
                <w:szCs w:val="16"/>
                <w:color w:val="auto"/>
                <w:w w:val="99"/>
              </w:rPr>
              <w:t>Smaller reporting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740" w:type="dxa"/>
            <w:vAlign w:val="bottom"/>
          </w:tcPr>
          <w:p>
            <w:pPr>
              <w:spacing w:after="0"/>
              <w:rPr>
                <w:sz w:val="20"/>
                <w:szCs w:val="20"/>
                <w:color w:val="auto"/>
              </w:rPr>
            </w:pPr>
            <w:r>
              <w:rPr>
                <w:rFonts w:ascii="Arial" w:cs="Arial" w:eastAsia="Arial" w:hAnsi="Arial"/>
                <w:sz w:val="16"/>
                <w:szCs w:val="16"/>
                <w:color w:val="auto"/>
              </w:rPr>
              <w:t>Non-accelerated filer</w:t>
            </w:r>
          </w:p>
        </w:tc>
        <w:tc>
          <w:tcPr>
            <w:tcW w:w="30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580"/>
              <w:spacing w:after="0"/>
              <w:rPr>
                <w:sz w:val="20"/>
                <w:szCs w:val="20"/>
                <w:color w:val="auto"/>
              </w:rPr>
            </w:pPr>
            <w:r>
              <w:rPr>
                <w:rFonts w:ascii="Arial" w:cs="Arial" w:eastAsia="Arial" w:hAnsi="Arial"/>
                <w:sz w:val="16"/>
                <w:szCs w:val="16"/>
                <w:color w:val="auto"/>
                <w:w w:val="99"/>
              </w:rPr>
              <w:t>Emerging growth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54"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p>
    <w:p>
      <w:pPr>
        <w:ind w:right="6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240"/>
          </w:cols>
          <w:pgMar w:left="320" w:top="1129" w:right="339" w:bottom="1440" w:gutter="0" w:footer="0" w:header="0"/>
        </w:sectPr>
      </w:pPr>
    </w:p>
    <w:bookmarkStart w:id="1" w:name="page2"/>
    <w:bookmarkEnd w:id="1"/>
    <w:p>
      <w:pPr>
        <w:ind w:right="180"/>
        <w:spacing w:after="0" w:line="261" w:lineRule="auto"/>
        <w:rPr>
          <w:sz w:val="20"/>
          <w:szCs w:val="20"/>
          <w:color w:val="auto"/>
        </w:rPr>
      </w:pPr>
      <w:r>
        <w:rPr>
          <w:rFonts w:ascii="Arial" w:cs="Arial" w:eastAsia="Arial" w:hAnsi="Arial"/>
          <w:sz w:val="16"/>
          <w:szCs w:val="16"/>
          <w:color w:val="auto"/>
        </w:rPr>
        <w:t>The registrant was not a public company as of June 30, 2020, the last business day of its most recently completed second fiscal quarter and therefore, cannot calculate the aggregate market value of its common equity held by non-affiliates as of such date. The registrant’s Class A common stock began trading on The Nasdaq Global Select Market on December 4, 2020.</w:t>
      </w:r>
    </w:p>
    <w:p>
      <w:pPr>
        <w:spacing w:after="0" w:line="12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of March 15, 2021, the registrant had 56,175,970 shares of Class A common stock, $0.00001 par value per share, and 4,735,081 of Class B common stock, $0.00001 par value per share, outstanding.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DOCUMENTS INCORPORATED BY REFERENCE</w:t>
      </w:r>
    </w:p>
    <w:p>
      <w:pPr>
        <w:spacing w:after="0" w:line="167" w:lineRule="exact"/>
        <w:rPr>
          <w:sz w:val="20"/>
          <w:szCs w:val="20"/>
          <w:color w:val="auto"/>
        </w:rPr>
      </w:pPr>
    </w:p>
    <w:p>
      <w:pPr>
        <w:jc w:val="both"/>
        <w:ind w:right="120"/>
        <w:spacing w:after="0" w:line="261" w:lineRule="auto"/>
        <w:rPr>
          <w:sz w:val="20"/>
          <w:szCs w:val="20"/>
          <w:color w:val="auto"/>
        </w:rPr>
      </w:pPr>
      <w:r>
        <w:rPr>
          <w:rFonts w:ascii="Arial" w:cs="Arial" w:eastAsia="Arial" w:hAnsi="Arial"/>
          <w:sz w:val="16"/>
          <w:szCs w:val="16"/>
          <w:color w:val="auto"/>
        </w:rPr>
        <w:t>Portions of the registrant’s definitive Proxy Statement relating to the 2021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2020.</w:t>
      </w:r>
    </w:p>
    <w:p>
      <w:pPr>
        <w:sectPr>
          <w:pgSz w:w="11900" w:h="16838" w:orient="portrait"/>
          <w:cols w:equalWidth="0" w:num="1">
            <w:col w:w="11180"/>
          </w:cols>
          <w:pgMar w:left="320" w:top="535" w:right="399" w:bottom="1440" w:gutter="0" w:footer="0" w:header="0"/>
        </w:sectPr>
      </w:pPr>
    </w:p>
    <w:bookmarkStart w:id="2" w:name="page3"/>
    <w:bookmarkEnd w:id="2"/>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gridSpan w:val="12"/>
          </w:tcPr>
          <w:p>
            <w:pPr>
              <w:jc w:val="center"/>
              <w:ind w:right="4840"/>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Part I.</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Item 1.</w:t>
              </w:r>
            </w:hyperlink>
          </w:p>
        </w:tc>
        <w:tc>
          <w:tcPr>
            <w:tcW w:w="540" w:type="dxa"/>
            <w:vAlign w:val="bottom"/>
            <w:gridSpan w:val="3"/>
          </w:tcPr>
          <w:p>
            <w:pPr>
              <w:spacing w:after="0"/>
              <w:rPr>
                <w:sz w:val="18"/>
                <w:szCs w:val="18"/>
                <w:color w:val="auto"/>
              </w:rPr>
            </w:pP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6">
              <w:r>
                <w:rPr>
                  <w:rFonts w:ascii="Arial" w:cs="Arial" w:eastAsia="Arial" w:hAnsi="Arial"/>
                  <w:sz w:val="18"/>
                  <w:szCs w:val="18"/>
                  <w:color w:val="0000FF"/>
                  <w:w w:val="84"/>
                </w:rPr>
                <w:t>Business</w:t>
              </w:r>
            </w:hyperlink>
          </w:p>
        </w:tc>
        <w:tc>
          <w:tcPr>
            <w:tcW w:w="3680" w:type="dxa"/>
            <w:vAlign w:val="bottom"/>
            <w:gridSpan w:val="18"/>
          </w:tcPr>
          <w:p>
            <w:pPr>
              <w:spacing w:after="0"/>
              <w:rPr>
                <w:sz w:val="18"/>
                <w:szCs w:val="18"/>
                <w:color w:val="auto"/>
              </w:rPr>
            </w:pPr>
          </w:p>
        </w:tc>
        <w:tc>
          <w:tcPr>
            <w:tcW w:w="440" w:type="dxa"/>
            <w:vAlign w:val="bottom"/>
            <w:tcBorders>
              <w:top w:val="single" w:sz="8" w:color="0000FF"/>
            </w:tcBorders>
            <w:gridSpan w:val="2"/>
          </w:tcPr>
          <w:p>
            <w:pPr>
              <w:spacing w:after="0"/>
              <w:rPr>
                <w:sz w:val="18"/>
                <w:szCs w:val="18"/>
                <w:color w:val="auto"/>
              </w:rPr>
            </w:pPr>
          </w:p>
        </w:tc>
        <w:tc>
          <w:tcPr>
            <w:tcW w:w="4840" w:type="dxa"/>
            <w:vAlign w:val="bottom"/>
            <w:gridSpan w:val="10"/>
          </w:tcPr>
          <w:p>
            <w:pPr>
              <w:spacing w:after="0"/>
              <w:rPr>
                <w:sz w:val="18"/>
                <w:szCs w:val="18"/>
                <w:color w:val="auto"/>
              </w:rPr>
            </w:pPr>
          </w:p>
        </w:tc>
        <w:tc>
          <w:tcPr>
            <w:tcW w:w="8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1</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660" w:type="dxa"/>
            <w:vAlign w:val="bottom"/>
            <w:gridSpan w:val="3"/>
          </w:tcPr>
          <w:p>
            <w:pPr>
              <w:spacing w:after="0"/>
              <w:rPr>
                <w:rFonts w:ascii="Arial" w:cs="Arial" w:eastAsia="Arial" w:hAnsi="Arial"/>
                <w:sz w:val="18"/>
                <w:szCs w:val="18"/>
                <w:color w:val="0000FF"/>
                <w:w w:val="92"/>
              </w:rPr>
            </w:pPr>
            <w:hyperlink w:anchor="page42">
              <w:r>
                <w:rPr>
                  <w:rFonts w:ascii="Arial" w:cs="Arial" w:eastAsia="Arial" w:hAnsi="Arial"/>
                  <w:sz w:val="18"/>
                  <w:szCs w:val="18"/>
                  <w:color w:val="0000FF"/>
                  <w:w w:val="92"/>
                </w:rPr>
                <w:t>Item 1A.</w:t>
              </w:r>
            </w:hyperlink>
          </w:p>
        </w:tc>
        <w:tc>
          <w:tcPr>
            <w:tcW w:w="400" w:type="dxa"/>
            <w:vAlign w:val="bottom"/>
          </w:tcPr>
          <w:p>
            <w:pPr>
              <w:spacing w:after="0"/>
              <w:rPr>
                <w:sz w:val="18"/>
                <w:szCs w:val="18"/>
                <w:color w:val="auto"/>
              </w:rPr>
            </w:pPr>
          </w:p>
        </w:tc>
        <w:tc>
          <w:tcPr>
            <w:tcW w:w="9600" w:type="dxa"/>
            <w:vAlign w:val="bottom"/>
            <w:gridSpan w:val="31"/>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Risk Factors</w:t>
              </w:r>
            </w:hyperlink>
          </w:p>
        </w:tc>
        <w:tc>
          <w:tcPr>
            <w:tcW w:w="220" w:type="dxa"/>
            <w:vAlign w:val="bottom"/>
            <w:gridSpan w:val="4"/>
          </w:tcPr>
          <w:p>
            <w:pPr>
              <w:jc w:val="cente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38</w:t>
              </w:r>
            </w:hyperlink>
          </w:p>
        </w:tc>
        <w:tc>
          <w:tcPr>
            <w:tcW w:w="40" w:type="dxa"/>
            <w:vAlign w:val="bottom"/>
          </w:tcPr>
          <w:p>
            <w:pPr>
              <w:spacing w:after="0"/>
              <w:rPr>
                <w:sz w:val="18"/>
                <w:szCs w:val="18"/>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60" w:type="dxa"/>
            <w:vAlign w:val="bottom"/>
            <w:gridSpan w:val="3"/>
          </w:tcPr>
          <w:p>
            <w:pPr>
              <w:spacing w:after="0"/>
              <w:rPr>
                <w:rFonts w:ascii="Arial" w:cs="Arial" w:eastAsia="Arial" w:hAnsi="Arial"/>
                <w:sz w:val="18"/>
                <w:szCs w:val="18"/>
                <w:color w:val="0000FF"/>
                <w:w w:val="92"/>
              </w:rPr>
            </w:pPr>
            <w:hyperlink w:anchor="page84">
              <w:r>
                <w:rPr>
                  <w:rFonts w:ascii="Arial" w:cs="Arial" w:eastAsia="Arial" w:hAnsi="Arial"/>
                  <w:sz w:val="18"/>
                  <w:szCs w:val="18"/>
                  <w:color w:val="0000FF"/>
                  <w:w w:val="92"/>
                </w:rPr>
                <w:t>Item 1B.</w:t>
              </w:r>
            </w:hyperlink>
          </w:p>
        </w:tc>
        <w:tc>
          <w:tcPr>
            <w:tcW w:w="400" w:type="dxa"/>
            <w:vAlign w:val="bottom"/>
          </w:tcPr>
          <w:p>
            <w:pPr>
              <w:spacing w:after="0"/>
              <w:rPr>
                <w:sz w:val="18"/>
                <w:szCs w:val="18"/>
                <w:color w:val="auto"/>
              </w:rPr>
            </w:pPr>
          </w:p>
        </w:tc>
        <w:tc>
          <w:tcPr>
            <w:tcW w:w="9600" w:type="dxa"/>
            <w:vAlign w:val="bottom"/>
            <w:gridSpan w:val="31"/>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Unresolved Staff Comments</w:t>
              </w:r>
            </w:hyperlink>
          </w:p>
        </w:tc>
        <w:tc>
          <w:tcPr>
            <w:tcW w:w="220" w:type="dxa"/>
            <w:vAlign w:val="bottom"/>
            <w:gridSpan w:val="4"/>
          </w:tcPr>
          <w:p>
            <w:pPr>
              <w:jc w:val="center"/>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80</w:t>
              </w:r>
            </w:hyperlink>
          </w:p>
        </w:tc>
        <w:tc>
          <w:tcPr>
            <w:tcW w:w="40" w:type="dxa"/>
            <w:vAlign w:val="bottom"/>
          </w:tcPr>
          <w:p>
            <w:pPr>
              <w:spacing w:after="0"/>
              <w:rPr>
                <w:sz w:val="18"/>
                <w:szCs w:val="18"/>
                <w:color w:val="auto"/>
              </w:rPr>
            </w:pPr>
          </w:p>
        </w:tc>
      </w:tr>
      <w:tr>
        <w:trPr>
          <w:trHeight w:val="209"/>
        </w:trPr>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85">
              <w:r>
                <w:rPr>
                  <w:rFonts w:ascii="Arial" w:cs="Arial" w:eastAsia="Arial" w:hAnsi="Arial"/>
                  <w:sz w:val="18"/>
                  <w:szCs w:val="18"/>
                  <w:color w:val="0000FF"/>
                  <w:w w:val="90"/>
                </w:rPr>
                <w:t>Item 2.</w:t>
              </w:r>
            </w:hyperlink>
          </w:p>
        </w:tc>
        <w:tc>
          <w:tcPr>
            <w:tcW w:w="140" w:type="dxa"/>
            <w:vAlign w:val="bottom"/>
            <w:tcBorders>
              <w:top w:val="single" w:sz="8" w:color="0000FF"/>
            </w:tcBorders>
            <w:gridSpan w:val="2"/>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tcBorders>
              <w:top w:val="single" w:sz="8" w:color="0000FF"/>
            </w:tcBorders>
            <w:gridSpan w:val="10"/>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Properties</w:t>
              </w:r>
            </w:hyperlink>
          </w:p>
        </w:tc>
        <w:tc>
          <w:tcPr>
            <w:tcW w:w="7560" w:type="dxa"/>
            <w:vAlign w:val="bottom"/>
            <w:gridSpan w:val="21"/>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80</w:t>
              </w:r>
            </w:hyperlink>
          </w:p>
        </w:tc>
        <w:tc>
          <w:tcPr>
            <w:tcW w:w="40" w:type="dxa"/>
            <w:vAlign w:val="bottom"/>
          </w:tcPr>
          <w:p>
            <w:pPr>
              <w:spacing w:after="0"/>
              <w:rPr>
                <w:sz w:val="18"/>
                <w:szCs w:val="18"/>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85">
              <w:r>
                <w:rPr>
                  <w:rFonts w:ascii="Arial" w:cs="Arial" w:eastAsia="Arial" w:hAnsi="Arial"/>
                  <w:sz w:val="18"/>
                  <w:szCs w:val="18"/>
                  <w:color w:val="0000FF"/>
                  <w:w w:val="90"/>
                </w:rPr>
                <w:t>Item 3.</w:t>
              </w:r>
            </w:hyperlink>
          </w:p>
        </w:tc>
        <w:tc>
          <w:tcPr>
            <w:tcW w:w="540" w:type="dxa"/>
            <w:vAlign w:val="bottom"/>
            <w:gridSpan w:val="3"/>
          </w:tcPr>
          <w:p>
            <w:pPr>
              <w:spacing w:after="0"/>
              <w:rPr>
                <w:sz w:val="18"/>
                <w:szCs w:val="18"/>
                <w:color w:val="auto"/>
              </w:rPr>
            </w:pP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85">
              <w:r>
                <w:rPr>
                  <w:rFonts w:ascii="Arial" w:cs="Arial" w:eastAsia="Arial" w:hAnsi="Arial"/>
                  <w:sz w:val="18"/>
                  <w:szCs w:val="18"/>
                  <w:color w:val="0000FF"/>
                  <w:w w:val="88"/>
                </w:rPr>
                <w:t>Legal Proceedings</w:t>
              </w:r>
            </w:hyperlink>
          </w:p>
        </w:tc>
        <w:tc>
          <w:tcPr>
            <w:tcW w:w="8260" w:type="dxa"/>
            <w:vAlign w:val="bottom"/>
            <w:gridSpan w:val="26"/>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80</w:t>
              </w:r>
            </w:hyperlink>
          </w:p>
        </w:tc>
        <w:tc>
          <w:tcPr>
            <w:tcW w:w="40" w:type="dxa"/>
            <w:vAlign w:val="bottom"/>
          </w:tcPr>
          <w:p>
            <w:pPr>
              <w:spacing w:after="0"/>
              <w:rPr>
                <w:sz w:val="18"/>
                <w:szCs w:val="18"/>
                <w:color w:val="auto"/>
              </w:rPr>
            </w:pPr>
          </w:p>
        </w:tc>
      </w:tr>
      <w:tr>
        <w:trPr>
          <w:trHeight w:val="209"/>
        </w:trPr>
        <w:tc>
          <w:tcPr>
            <w:tcW w:w="1060" w:type="dxa"/>
            <w:vAlign w:val="bottom"/>
            <w:gridSpan w:val="4"/>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Item 4.</w:t>
              </w:r>
            </w:hyperlink>
          </w:p>
        </w:tc>
        <w:tc>
          <w:tcPr>
            <w:tcW w:w="9600" w:type="dxa"/>
            <w:vAlign w:val="bottom"/>
            <w:gridSpan w:val="31"/>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Mine Safety Disclosures</w:t>
              </w:r>
            </w:hyperlink>
          </w:p>
        </w:tc>
        <w:tc>
          <w:tcPr>
            <w:tcW w:w="220" w:type="dxa"/>
            <w:vAlign w:val="bottom"/>
            <w:gridSpan w:val="4"/>
          </w:tcPr>
          <w:p>
            <w:pPr>
              <w:jc w:val="center"/>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80</w:t>
              </w:r>
            </w:hyperlink>
          </w:p>
        </w:tc>
        <w:tc>
          <w:tcPr>
            <w:tcW w:w="40" w:type="dxa"/>
            <w:vAlign w:val="bottom"/>
          </w:tcPr>
          <w:p>
            <w:pPr>
              <w:spacing w:after="0"/>
              <w:rPr>
                <w:sz w:val="18"/>
                <w:szCs w:val="18"/>
                <w:color w:val="auto"/>
              </w:rPr>
            </w:pPr>
          </w:p>
        </w:tc>
      </w:tr>
      <w:tr>
        <w:trPr>
          <w:trHeight w:val="210"/>
        </w:trPr>
        <w:tc>
          <w:tcPr>
            <w:tcW w:w="5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0000FF"/>
            </w:tcBorders>
            <w:gridSpan w:val="4"/>
          </w:tcPr>
          <w:p>
            <w:pPr>
              <w:jc w:val="center"/>
              <w:spacing w:after="0"/>
              <w:rPr>
                <w:rFonts w:ascii="Arial" w:cs="Arial" w:eastAsia="Arial" w:hAnsi="Arial"/>
                <w:sz w:val="18"/>
                <w:szCs w:val="18"/>
                <w:color w:val="0000FF"/>
                <w:w w:val="94"/>
              </w:rPr>
            </w:pPr>
            <w:hyperlink w:anchor="page85">
              <w:r>
                <w:rPr>
                  <w:rFonts w:ascii="Arial" w:cs="Arial" w:eastAsia="Arial" w:hAnsi="Arial"/>
                  <w:sz w:val="18"/>
                  <w:szCs w:val="18"/>
                  <w:color w:val="0000FF"/>
                  <w:w w:val="94"/>
                </w:rPr>
                <w:t>Part II.</w:t>
              </w:r>
            </w:hyperlink>
          </w:p>
        </w:tc>
        <w:tc>
          <w:tcPr>
            <w:tcW w:w="4800" w:type="dxa"/>
            <w:vAlign w:val="bottom"/>
            <w:gridSpan w:val="9"/>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600" w:type="dxa"/>
            <w:vAlign w:val="bottom"/>
            <w:tcBorders>
              <w:bottom w:val="single" w:sz="8" w:color="0000FF"/>
            </w:tcBorders>
            <w:gridSpan w:val="2"/>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Item 5.</w:t>
              </w:r>
            </w:hyperlink>
          </w:p>
        </w:tc>
        <w:tc>
          <w:tcPr>
            <w:tcW w:w="460" w:type="dxa"/>
            <w:vAlign w:val="bottom"/>
            <w:gridSpan w:val="2"/>
          </w:tcPr>
          <w:p>
            <w:pPr>
              <w:spacing w:after="0"/>
              <w:rPr>
                <w:sz w:val="18"/>
                <w:szCs w:val="18"/>
                <w:color w:val="auto"/>
              </w:rPr>
            </w:pPr>
          </w:p>
        </w:tc>
        <w:tc>
          <w:tcPr>
            <w:tcW w:w="8080" w:type="dxa"/>
            <w:vAlign w:val="bottom"/>
            <w:tcBorders>
              <w:bottom w:val="single" w:sz="8" w:color="0000FF"/>
            </w:tcBorders>
            <w:gridSpan w:val="30"/>
          </w:tcPr>
          <w:p>
            <w:pPr>
              <w:spacing w:after="0"/>
              <w:rPr>
                <w:rFonts w:ascii="Arial" w:cs="Arial" w:eastAsia="Arial" w:hAnsi="Arial"/>
                <w:sz w:val="18"/>
                <w:szCs w:val="18"/>
                <w:color w:val="0000FF"/>
                <w:w w:val="90"/>
              </w:rPr>
            </w:pPr>
            <w:hyperlink w:anchor="page86">
              <w:r>
                <w:rPr>
                  <w:rFonts w:ascii="Arial" w:cs="Arial" w:eastAsia="Arial" w:hAnsi="Arial"/>
                  <w:sz w:val="18"/>
                  <w:szCs w:val="18"/>
                  <w:color w:val="0000FF"/>
                  <w:w w:val="90"/>
                </w:rPr>
                <w:t>Market for Registrant’s Common Equity, Related Stockholder Matters and Issuer Purchases of Equity Securities</w:t>
              </w:r>
            </w:hyperlink>
          </w:p>
        </w:tc>
        <w:tc>
          <w:tcPr>
            <w:tcW w:w="1520" w:type="dxa"/>
            <w:vAlign w:val="bottom"/>
          </w:tcPr>
          <w:p>
            <w:pPr>
              <w:spacing w:after="0"/>
              <w:rPr>
                <w:sz w:val="18"/>
                <w:szCs w:val="18"/>
                <w:color w:val="auto"/>
              </w:rPr>
            </w:pPr>
          </w:p>
        </w:tc>
        <w:tc>
          <w:tcPr>
            <w:tcW w:w="220" w:type="dxa"/>
            <w:vAlign w:val="bottom"/>
            <w:gridSpan w:val="4"/>
          </w:tcPr>
          <w:p>
            <w:pPr>
              <w:jc w:val="center"/>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81</w:t>
              </w:r>
            </w:hyperlink>
          </w:p>
        </w:tc>
        <w:tc>
          <w:tcPr>
            <w:tcW w:w="40" w:type="dxa"/>
            <w:vAlign w:val="bottom"/>
          </w:tcPr>
          <w:p>
            <w:pPr>
              <w:spacing w:after="0"/>
              <w:rPr>
                <w:sz w:val="18"/>
                <w:szCs w:val="18"/>
                <w:color w:val="auto"/>
              </w:rPr>
            </w:pPr>
          </w:p>
        </w:tc>
      </w:tr>
      <w:tr>
        <w:trPr>
          <w:trHeight w:val="209"/>
        </w:trPr>
        <w:tc>
          <w:tcPr>
            <w:tcW w:w="520" w:type="dxa"/>
            <w:vAlign w:val="bottom"/>
          </w:tcPr>
          <w:p>
            <w:pPr>
              <w:spacing w:after="0"/>
              <w:rPr>
                <w:rFonts w:ascii="Arial" w:cs="Arial" w:eastAsia="Arial" w:hAnsi="Arial"/>
                <w:sz w:val="18"/>
                <w:szCs w:val="18"/>
                <w:color w:val="0000FF"/>
                <w:w w:val="90"/>
              </w:rPr>
            </w:pPr>
            <w:hyperlink w:anchor="page87">
              <w:r>
                <w:rPr>
                  <w:rFonts w:ascii="Arial" w:cs="Arial" w:eastAsia="Arial" w:hAnsi="Arial"/>
                  <w:sz w:val="18"/>
                  <w:szCs w:val="18"/>
                  <w:color w:val="0000FF"/>
                  <w:w w:val="90"/>
                </w:rPr>
                <w:t>Item 6.</w:t>
              </w:r>
            </w:hyperlink>
          </w:p>
        </w:tc>
        <w:tc>
          <w:tcPr>
            <w:tcW w:w="540" w:type="dxa"/>
            <w:vAlign w:val="bottom"/>
            <w:gridSpan w:val="3"/>
          </w:tcPr>
          <w:p>
            <w:pPr>
              <w:spacing w:after="0"/>
              <w:rPr>
                <w:sz w:val="18"/>
                <w:szCs w:val="18"/>
                <w:color w:val="auto"/>
              </w:rPr>
            </w:pPr>
          </w:p>
        </w:tc>
        <w:tc>
          <w:tcPr>
            <w:tcW w:w="9600" w:type="dxa"/>
            <w:vAlign w:val="bottom"/>
            <w:gridSpan w:val="31"/>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Selected Financial Data</w:t>
              </w:r>
            </w:hyperlink>
          </w:p>
        </w:tc>
        <w:tc>
          <w:tcPr>
            <w:tcW w:w="220" w:type="dxa"/>
            <w:vAlign w:val="bottom"/>
            <w:gridSpan w:val="4"/>
          </w:tcPr>
          <w:p>
            <w:pPr>
              <w:jc w:val="center"/>
              <w:spacing w:after="0"/>
              <w:rPr>
                <w:rFonts w:ascii="Arial" w:cs="Arial" w:eastAsia="Arial" w:hAnsi="Arial"/>
                <w:sz w:val="18"/>
                <w:szCs w:val="18"/>
                <w:color w:val="0000FF"/>
                <w:w w:val="89"/>
              </w:rPr>
            </w:pPr>
            <w:hyperlink w:anchor="page87">
              <w:r>
                <w:rPr>
                  <w:rFonts w:ascii="Arial" w:cs="Arial" w:eastAsia="Arial" w:hAnsi="Arial"/>
                  <w:sz w:val="18"/>
                  <w:szCs w:val="18"/>
                  <w:color w:val="0000FF"/>
                  <w:w w:val="89"/>
                </w:rPr>
                <w:t>82</w:t>
              </w:r>
            </w:hyperlink>
          </w:p>
        </w:tc>
        <w:tc>
          <w:tcPr>
            <w:tcW w:w="40" w:type="dxa"/>
            <w:vAlign w:val="bottom"/>
          </w:tcPr>
          <w:p>
            <w:pPr>
              <w:spacing w:after="0"/>
              <w:rPr>
                <w:sz w:val="18"/>
                <w:szCs w:val="18"/>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87">
              <w:r>
                <w:rPr>
                  <w:rFonts w:ascii="Arial" w:cs="Arial" w:eastAsia="Arial" w:hAnsi="Arial"/>
                  <w:sz w:val="18"/>
                  <w:szCs w:val="18"/>
                  <w:color w:val="0000FF"/>
                  <w:w w:val="90"/>
                </w:rPr>
                <w:t>Item 7.</w:t>
              </w:r>
            </w:hyperlink>
          </w:p>
        </w:tc>
        <w:tc>
          <w:tcPr>
            <w:tcW w:w="540" w:type="dxa"/>
            <w:vAlign w:val="bottom"/>
            <w:gridSpan w:val="3"/>
          </w:tcPr>
          <w:p>
            <w:pPr>
              <w:spacing w:after="0"/>
              <w:rPr>
                <w:sz w:val="18"/>
                <w:szCs w:val="18"/>
                <w:color w:val="auto"/>
              </w:rPr>
            </w:pPr>
          </w:p>
        </w:tc>
        <w:tc>
          <w:tcPr>
            <w:tcW w:w="6460" w:type="dxa"/>
            <w:vAlign w:val="bottom"/>
            <w:tcBorders>
              <w:bottom w:val="single" w:sz="8" w:color="0000FF"/>
            </w:tcBorders>
            <w:gridSpan w:val="27"/>
          </w:tcPr>
          <w:p>
            <w:pPr>
              <w:spacing w:after="0"/>
              <w:rPr>
                <w:rFonts w:ascii="Arial" w:cs="Arial" w:eastAsia="Arial" w:hAnsi="Arial"/>
                <w:sz w:val="18"/>
                <w:szCs w:val="18"/>
                <w:color w:val="0000FF"/>
                <w:w w:val="90"/>
              </w:rPr>
            </w:pPr>
            <w:hyperlink w:anchor="page87">
              <w:r>
                <w:rPr>
                  <w:rFonts w:ascii="Arial" w:cs="Arial" w:eastAsia="Arial" w:hAnsi="Arial"/>
                  <w:sz w:val="18"/>
                  <w:szCs w:val="18"/>
                  <w:color w:val="0000FF"/>
                  <w:w w:val="90"/>
                </w:rPr>
                <w:t>Management’s Discussion and Analysis of Financial Condition and Results of Operations</w:t>
              </w:r>
            </w:hyperlink>
          </w:p>
        </w:tc>
        <w:tc>
          <w:tcPr>
            <w:tcW w:w="314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87">
              <w:r>
                <w:rPr>
                  <w:rFonts w:ascii="Arial" w:cs="Arial" w:eastAsia="Arial" w:hAnsi="Arial"/>
                  <w:sz w:val="18"/>
                  <w:szCs w:val="18"/>
                  <w:color w:val="0000FF"/>
                  <w:w w:val="89"/>
                </w:rPr>
                <w:t>83</w:t>
              </w:r>
            </w:hyperlink>
          </w:p>
        </w:tc>
        <w:tc>
          <w:tcPr>
            <w:tcW w:w="40" w:type="dxa"/>
            <w:vAlign w:val="bottom"/>
          </w:tcPr>
          <w:p>
            <w:pPr>
              <w:spacing w:after="0"/>
              <w:rPr>
                <w:sz w:val="18"/>
                <w:szCs w:val="18"/>
                <w:color w:val="auto"/>
              </w:rPr>
            </w:pPr>
          </w:p>
        </w:tc>
      </w:tr>
      <w:tr>
        <w:trPr>
          <w:trHeight w:val="209"/>
        </w:trPr>
        <w:tc>
          <w:tcPr>
            <w:tcW w:w="66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98">
              <w:r>
                <w:rPr>
                  <w:rFonts w:ascii="Arial" w:cs="Arial" w:eastAsia="Arial" w:hAnsi="Arial"/>
                  <w:sz w:val="18"/>
                  <w:szCs w:val="18"/>
                  <w:color w:val="0000FF"/>
                  <w:w w:val="92"/>
                </w:rPr>
                <w:t>Item 7A.</w:t>
              </w:r>
            </w:hyperlink>
          </w:p>
        </w:tc>
        <w:tc>
          <w:tcPr>
            <w:tcW w:w="400" w:type="dxa"/>
            <w:vAlign w:val="bottom"/>
          </w:tcPr>
          <w:p>
            <w:pPr>
              <w:spacing w:after="0"/>
              <w:rPr>
                <w:sz w:val="18"/>
                <w:szCs w:val="18"/>
                <w:color w:val="auto"/>
              </w:rPr>
            </w:pPr>
          </w:p>
        </w:tc>
        <w:tc>
          <w:tcPr>
            <w:tcW w:w="4360" w:type="dxa"/>
            <w:vAlign w:val="bottom"/>
            <w:tcBorders>
              <w:bottom w:val="single" w:sz="8" w:color="0000FF"/>
            </w:tcBorders>
            <w:gridSpan w:val="20"/>
          </w:tcPr>
          <w:p>
            <w:pPr>
              <w:spacing w:after="0"/>
              <w:rPr>
                <w:rFonts w:ascii="Arial" w:cs="Arial" w:eastAsia="Arial" w:hAnsi="Arial"/>
                <w:sz w:val="18"/>
                <w:szCs w:val="18"/>
                <w:color w:val="0000FF"/>
                <w:w w:val="92"/>
              </w:rPr>
            </w:pPr>
            <w:hyperlink w:anchor="page98">
              <w:r>
                <w:rPr>
                  <w:rFonts w:ascii="Arial" w:cs="Arial" w:eastAsia="Arial" w:hAnsi="Arial"/>
                  <w:sz w:val="18"/>
                  <w:szCs w:val="18"/>
                  <w:color w:val="0000FF"/>
                  <w:w w:val="92"/>
                </w:rPr>
                <w:t>Quantitative and Qualitative Disclosures About Market Risk</w:t>
              </w:r>
            </w:hyperlink>
          </w:p>
        </w:tc>
        <w:tc>
          <w:tcPr>
            <w:tcW w:w="5240" w:type="dxa"/>
            <w:vAlign w:val="bottom"/>
            <w:gridSpan w:val="11"/>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98">
              <w:r>
                <w:rPr>
                  <w:rFonts w:ascii="Arial" w:cs="Arial" w:eastAsia="Arial" w:hAnsi="Arial"/>
                  <w:sz w:val="18"/>
                  <w:szCs w:val="18"/>
                  <w:color w:val="0000FF"/>
                  <w:w w:val="89"/>
                </w:rPr>
                <w:t>93</w:t>
              </w:r>
            </w:hyperlink>
          </w:p>
        </w:tc>
        <w:tc>
          <w:tcPr>
            <w:tcW w:w="40" w:type="dxa"/>
            <w:vAlign w:val="bottom"/>
          </w:tcPr>
          <w:p>
            <w:pPr>
              <w:spacing w:after="0"/>
              <w:rPr>
                <w:sz w:val="18"/>
                <w:szCs w:val="18"/>
                <w:color w:val="auto"/>
              </w:rPr>
            </w:pPr>
          </w:p>
        </w:tc>
      </w:tr>
      <w:tr>
        <w:trPr>
          <w:trHeight w:val="209"/>
        </w:trPr>
        <w:tc>
          <w:tcPr>
            <w:tcW w:w="520" w:type="dxa"/>
            <w:vAlign w:val="bottom"/>
          </w:tcPr>
          <w:p>
            <w:pPr>
              <w:spacing w:after="0"/>
              <w:rPr>
                <w:rFonts w:ascii="Arial" w:cs="Arial" w:eastAsia="Arial" w:hAnsi="Arial"/>
                <w:sz w:val="18"/>
                <w:szCs w:val="18"/>
                <w:color w:val="0000FF"/>
                <w:w w:val="90"/>
              </w:rPr>
            </w:pPr>
            <w:hyperlink w:anchor="page98">
              <w:r>
                <w:rPr>
                  <w:rFonts w:ascii="Arial" w:cs="Arial" w:eastAsia="Arial" w:hAnsi="Arial"/>
                  <w:sz w:val="18"/>
                  <w:szCs w:val="18"/>
                  <w:color w:val="0000FF"/>
                  <w:w w:val="90"/>
                </w:rPr>
                <w:t>Item 8.</w:t>
              </w:r>
            </w:hyperlink>
          </w:p>
        </w:tc>
        <w:tc>
          <w:tcPr>
            <w:tcW w:w="540" w:type="dxa"/>
            <w:vAlign w:val="bottom"/>
            <w:gridSpan w:val="3"/>
          </w:tcPr>
          <w:p>
            <w:pPr>
              <w:spacing w:after="0"/>
              <w:rPr>
                <w:sz w:val="18"/>
                <w:szCs w:val="18"/>
                <w:color w:val="auto"/>
              </w:rPr>
            </w:pPr>
          </w:p>
        </w:tc>
        <w:tc>
          <w:tcPr>
            <w:tcW w:w="9600" w:type="dxa"/>
            <w:vAlign w:val="bottom"/>
            <w:gridSpan w:val="31"/>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Financial Statements and Supplementary Data</w:t>
              </w:r>
            </w:hyperlink>
          </w:p>
        </w:tc>
        <w:tc>
          <w:tcPr>
            <w:tcW w:w="220" w:type="dxa"/>
            <w:vAlign w:val="bottom"/>
            <w:gridSpan w:val="4"/>
          </w:tcPr>
          <w:p>
            <w:pPr>
              <w:jc w:val="center"/>
              <w:spacing w:after="0"/>
              <w:rPr>
                <w:rFonts w:ascii="Arial" w:cs="Arial" w:eastAsia="Arial" w:hAnsi="Arial"/>
                <w:sz w:val="18"/>
                <w:szCs w:val="18"/>
                <w:color w:val="0000FF"/>
                <w:w w:val="89"/>
              </w:rPr>
            </w:pPr>
            <w:hyperlink w:anchor="page98">
              <w:r>
                <w:rPr>
                  <w:rFonts w:ascii="Arial" w:cs="Arial" w:eastAsia="Arial" w:hAnsi="Arial"/>
                  <w:sz w:val="18"/>
                  <w:szCs w:val="18"/>
                  <w:color w:val="0000FF"/>
                  <w:w w:val="89"/>
                </w:rPr>
                <w:t>94</w:t>
              </w:r>
            </w:hyperlink>
          </w:p>
        </w:tc>
        <w:tc>
          <w:tcPr>
            <w:tcW w:w="40" w:type="dxa"/>
            <w:vAlign w:val="bottom"/>
          </w:tcPr>
          <w:p>
            <w:pPr>
              <w:spacing w:after="0"/>
              <w:rPr>
                <w:sz w:val="18"/>
                <w:szCs w:val="18"/>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125">
              <w:r>
                <w:rPr>
                  <w:rFonts w:ascii="Arial" w:cs="Arial" w:eastAsia="Arial" w:hAnsi="Arial"/>
                  <w:sz w:val="18"/>
                  <w:szCs w:val="18"/>
                  <w:color w:val="0000FF"/>
                  <w:w w:val="90"/>
                </w:rPr>
                <w:t>Item 9.</w:t>
              </w:r>
            </w:hyperlink>
          </w:p>
        </w:tc>
        <w:tc>
          <w:tcPr>
            <w:tcW w:w="540" w:type="dxa"/>
            <w:vAlign w:val="bottom"/>
            <w:gridSpan w:val="3"/>
          </w:tcPr>
          <w:p>
            <w:pPr>
              <w:spacing w:after="0"/>
              <w:rPr>
                <w:sz w:val="18"/>
                <w:szCs w:val="18"/>
                <w:color w:val="auto"/>
              </w:rPr>
            </w:pPr>
          </w:p>
        </w:tc>
        <w:tc>
          <w:tcPr>
            <w:tcW w:w="9600" w:type="dxa"/>
            <w:vAlign w:val="bottom"/>
            <w:gridSpan w:val="31"/>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Changes in and Disagreements With Accountants on Accounting and Financial Disclosure</w:t>
              </w:r>
            </w:hyperlink>
          </w:p>
        </w:tc>
        <w:tc>
          <w:tcPr>
            <w:tcW w:w="260" w:type="dxa"/>
            <w:vAlign w:val="bottom"/>
            <w:gridSpan w:val="5"/>
          </w:tcPr>
          <w:p>
            <w:pPr>
              <w:jc w:val="center"/>
              <w:spacing w:after="0"/>
              <w:rPr>
                <w:rFonts w:ascii="Arial" w:cs="Arial" w:eastAsia="Arial" w:hAnsi="Arial"/>
                <w:sz w:val="18"/>
                <w:szCs w:val="18"/>
                <w:color w:val="0000FF"/>
                <w:w w:val="86"/>
              </w:rPr>
            </w:pPr>
            <w:hyperlink w:anchor="page125">
              <w:r>
                <w:rPr>
                  <w:rFonts w:ascii="Arial" w:cs="Arial" w:eastAsia="Arial" w:hAnsi="Arial"/>
                  <w:sz w:val="18"/>
                  <w:szCs w:val="18"/>
                  <w:color w:val="0000FF"/>
                  <w:w w:val="86"/>
                </w:rPr>
                <w:t>121</w:t>
              </w:r>
            </w:hyperlink>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r>
      <w:tr>
        <w:trPr>
          <w:trHeight w:val="210"/>
        </w:trPr>
        <w:tc>
          <w:tcPr>
            <w:tcW w:w="660" w:type="dxa"/>
            <w:vAlign w:val="bottom"/>
            <w:gridSpan w:val="3"/>
          </w:tcPr>
          <w:p>
            <w:pPr>
              <w:spacing w:after="0"/>
              <w:rPr>
                <w:rFonts w:ascii="Arial" w:cs="Arial" w:eastAsia="Arial" w:hAnsi="Arial"/>
                <w:sz w:val="18"/>
                <w:szCs w:val="18"/>
                <w:color w:val="0000FF"/>
                <w:w w:val="92"/>
              </w:rPr>
            </w:pPr>
            <w:hyperlink w:anchor="page126">
              <w:r>
                <w:rPr>
                  <w:rFonts w:ascii="Arial" w:cs="Arial" w:eastAsia="Arial" w:hAnsi="Arial"/>
                  <w:sz w:val="18"/>
                  <w:szCs w:val="18"/>
                  <w:color w:val="0000FF"/>
                  <w:w w:val="92"/>
                </w:rPr>
                <w:t>Item 9A.</w:t>
              </w:r>
            </w:hyperlink>
          </w:p>
        </w:tc>
        <w:tc>
          <w:tcPr>
            <w:tcW w:w="400" w:type="dxa"/>
            <w:vAlign w:val="bottom"/>
          </w:tcPr>
          <w:p>
            <w:pPr>
              <w:spacing w:after="0"/>
              <w:rPr>
                <w:sz w:val="18"/>
                <w:szCs w:val="18"/>
                <w:color w:val="auto"/>
              </w:rPr>
            </w:pPr>
          </w:p>
        </w:tc>
        <w:tc>
          <w:tcPr>
            <w:tcW w:w="9600" w:type="dxa"/>
            <w:vAlign w:val="bottom"/>
            <w:gridSpan w:val="31"/>
          </w:tcPr>
          <w:p>
            <w:pPr>
              <w:spacing w:after="0"/>
              <w:rPr>
                <w:rFonts w:ascii="Arial" w:cs="Arial" w:eastAsia="Arial" w:hAnsi="Arial"/>
                <w:sz w:val="18"/>
                <w:szCs w:val="18"/>
                <w:color w:val="0000FF"/>
              </w:rPr>
            </w:pPr>
            <w:hyperlink w:anchor="page126">
              <w:r>
                <w:rPr>
                  <w:rFonts w:ascii="Arial" w:cs="Arial" w:eastAsia="Arial" w:hAnsi="Arial"/>
                  <w:sz w:val="18"/>
                  <w:szCs w:val="18"/>
                  <w:color w:val="0000FF"/>
                </w:rPr>
                <w:t>Controls and Procedures</w:t>
              </w:r>
            </w:hyperlink>
          </w:p>
        </w:tc>
        <w:tc>
          <w:tcPr>
            <w:tcW w:w="260" w:type="dxa"/>
            <w:vAlign w:val="bottom"/>
            <w:gridSpan w:val="5"/>
          </w:tcPr>
          <w:p>
            <w:pPr>
              <w:jc w:val="center"/>
              <w:spacing w:after="0"/>
              <w:rPr>
                <w:rFonts w:ascii="Arial" w:cs="Arial" w:eastAsia="Arial" w:hAnsi="Arial"/>
                <w:sz w:val="18"/>
                <w:szCs w:val="18"/>
                <w:color w:val="0000FF"/>
                <w:w w:val="86"/>
              </w:rPr>
            </w:pPr>
            <w:hyperlink w:anchor="page126">
              <w:r>
                <w:rPr>
                  <w:rFonts w:ascii="Arial" w:cs="Arial" w:eastAsia="Arial" w:hAnsi="Arial"/>
                  <w:sz w:val="18"/>
                  <w:szCs w:val="18"/>
                  <w:color w:val="0000FF"/>
                  <w:w w:val="86"/>
                </w:rPr>
                <w:t>122</w:t>
              </w:r>
            </w:hyperlink>
          </w:p>
        </w:tc>
      </w:tr>
      <w:tr>
        <w:trPr>
          <w:trHeight w:val="209"/>
        </w:trPr>
        <w:tc>
          <w:tcPr>
            <w:tcW w:w="660" w:type="dxa"/>
            <w:vAlign w:val="bottom"/>
            <w:tcBorders>
              <w:top w:val="single" w:sz="8" w:color="0000FF"/>
            </w:tcBorders>
            <w:gridSpan w:val="3"/>
          </w:tcPr>
          <w:p>
            <w:pPr>
              <w:spacing w:after="0"/>
              <w:rPr>
                <w:rFonts w:ascii="Arial" w:cs="Arial" w:eastAsia="Arial" w:hAnsi="Arial"/>
                <w:sz w:val="18"/>
                <w:szCs w:val="18"/>
                <w:color w:val="0000FF"/>
                <w:w w:val="92"/>
              </w:rPr>
            </w:pPr>
            <w:hyperlink w:anchor="page128">
              <w:r>
                <w:rPr>
                  <w:rFonts w:ascii="Arial" w:cs="Arial" w:eastAsia="Arial" w:hAnsi="Arial"/>
                  <w:sz w:val="18"/>
                  <w:szCs w:val="18"/>
                  <w:color w:val="0000FF"/>
                  <w:w w:val="92"/>
                </w:rPr>
                <w:t>Item 9B.</w:t>
              </w:r>
            </w:hyperlink>
          </w:p>
        </w:tc>
        <w:tc>
          <w:tcPr>
            <w:tcW w:w="400" w:type="dxa"/>
            <w:vAlign w:val="bottom"/>
          </w:tcPr>
          <w:p>
            <w:pPr>
              <w:spacing w:after="0"/>
              <w:rPr>
                <w:sz w:val="18"/>
                <w:szCs w:val="18"/>
                <w:color w:val="auto"/>
              </w:rPr>
            </w:pPr>
          </w:p>
        </w:tc>
        <w:tc>
          <w:tcPr>
            <w:tcW w:w="1760" w:type="dxa"/>
            <w:vAlign w:val="bottom"/>
            <w:tcBorders>
              <w:top w:val="single" w:sz="8" w:color="0000FF"/>
            </w:tcBorders>
            <w:gridSpan w:val="8"/>
          </w:tcPr>
          <w:p>
            <w:pPr>
              <w:spacing w:after="0"/>
              <w:rPr>
                <w:rFonts w:ascii="Arial" w:cs="Arial" w:eastAsia="Arial" w:hAnsi="Arial"/>
                <w:sz w:val="18"/>
                <w:szCs w:val="18"/>
                <w:color w:val="0000FF"/>
              </w:rPr>
            </w:pPr>
            <w:hyperlink w:anchor="page128">
              <w:r>
                <w:rPr>
                  <w:rFonts w:ascii="Arial" w:cs="Arial" w:eastAsia="Arial" w:hAnsi="Arial"/>
                  <w:sz w:val="18"/>
                  <w:szCs w:val="18"/>
                  <w:color w:val="0000FF"/>
                </w:rPr>
                <w:t>Other Information</w:t>
              </w:r>
            </w:hyperlink>
          </w:p>
        </w:tc>
        <w:tc>
          <w:tcPr>
            <w:tcW w:w="7840" w:type="dxa"/>
            <w:vAlign w:val="bottom"/>
            <w:gridSpan w:val="23"/>
          </w:tcPr>
          <w:p>
            <w:pPr>
              <w:spacing w:after="0"/>
              <w:rPr>
                <w:sz w:val="18"/>
                <w:szCs w:val="18"/>
                <w:color w:val="auto"/>
              </w:rPr>
            </w:pPr>
          </w:p>
        </w:tc>
        <w:tc>
          <w:tcPr>
            <w:tcW w:w="260" w:type="dxa"/>
            <w:vAlign w:val="bottom"/>
            <w:tcBorders>
              <w:top w:val="single" w:sz="8" w:color="0000FF"/>
            </w:tcBorders>
            <w:gridSpan w:val="5"/>
          </w:tcPr>
          <w:p>
            <w:pPr>
              <w:jc w:val="center"/>
              <w:spacing w:after="0"/>
              <w:rPr>
                <w:rFonts w:ascii="Arial" w:cs="Arial" w:eastAsia="Arial" w:hAnsi="Arial"/>
                <w:sz w:val="18"/>
                <w:szCs w:val="18"/>
                <w:color w:val="0000FF"/>
                <w:w w:val="86"/>
              </w:rPr>
            </w:pPr>
            <w:hyperlink w:anchor="page128">
              <w:r>
                <w:rPr>
                  <w:rFonts w:ascii="Arial" w:cs="Arial" w:eastAsia="Arial" w:hAnsi="Arial"/>
                  <w:sz w:val="18"/>
                  <w:szCs w:val="18"/>
                  <w:color w:val="0000FF"/>
                  <w:w w:val="86"/>
                </w:rPr>
                <w:t>124</w:t>
              </w:r>
            </w:hyperlink>
          </w:p>
        </w:tc>
      </w:tr>
      <w:tr>
        <w:trPr>
          <w:trHeight w:val="210"/>
        </w:trPr>
        <w:tc>
          <w:tcPr>
            <w:tcW w:w="5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0000FF"/>
            </w:tcBorders>
            <w:gridSpan w:val="8"/>
          </w:tcPr>
          <w:p>
            <w:pPr>
              <w:jc w:val="center"/>
              <w:ind w:right="20"/>
              <w:spacing w:after="0"/>
              <w:rPr>
                <w:rFonts w:ascii="Arial" w:cs="Arial" w:eastAsia="Arial" w:hAnsi="Arial"/>
                <w:sz w:val="18"/>
                <w:szCs w:val="18"/>
                <w:color w:val="0000FF"/>
                <w:w w:val="96"/>
              </w:rPr>
            </w:pPr>
            <w:hyperlink w:anchor="page129">
              <w:r>
                <w:rPr>
                  <w:rFonts w:ascii="Arial" w:cs="Arial" w:eastAsia="Arial" w:hAnsi="Arial"/>
                  <w:sz w:val="18"/>
                  <w:szCs w:val="18"/>
                  <w:color w:val="0000FF"/>
                  <w:w w:val="96"/>
                </w:rPr>
                <w:t>Part III.</w:t>
              </w:r>
            </w:hyperlink>
          </w:p>
        </w:tc>
        <w:tc>
          <w:tcPr>
            <w:tcW w:w="4760" w:type="dxa"/>
            <w:vAlign w:val="bottom"/>
            <w:gridSpan w:val="7"/>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r>
      <w:tr>
        <w:trPr>
          <w:trHeight w:val="210"/>
        </w:trPr>
        <w:tc>
          <w:tcPr>
            <w:tcW w:w="1060" w:type="dxa"/>
            <w:vAlign w:val="bottom"/>
            <w:gridSpan w:val="4"/>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Item 10.</w:t>
              </w:r>
            </w:hyperlink>
          </w:p>
        </w:tc>
        <w:tc>
          <w:tcPr>
            <w:tcW w:w="9600" w:type="dxa"/>
            <w:vAlign w:val="bottom"/>
            <w:gridSpan w:val="31"/>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Directors, Executive Officers and Corporate Governance</w:t>
              </w:r>
            </w:hyperlink>
          </w:p>
        </w:tc>
        <w:tc>
          <w:tcPr>
            <w:tcW w:w="260" w:type="dxa"/>
            <w:vAlign w:val="bottom"/>
            <w:gridSpan w:val="5"/>
          </w:tcPr>
          <w:p>
            <w:pPr>
              <w:jc w:val="center"/>
              <w:spacing w:after="0"/>
              <w:rPr>
                <w:rFonts w:ascii="Arial" w:cs="Arial" w:eastAsia="Arial" w:hAnsi="Arial"/>
                <w:sz w:val="18"/>
                <w:szCs w:val="18"/>
                <w:color w:val="0000FF"/>
                <w:w w:val="86"/>
              </w:rPr>
            </w:pPr>
            <w:hyperlink w:anchor="page130">
              <w:r>
                <w:rPr>
                  <w:rFonts w:ascii="Arial" w:cs="Arial" w:eastAsia="Arial" w:hAnsi="Arial"/>
                  <w:sz w:val="18"/>
                  <w:szCs w:val="18"/>
                  <w:color w:val="0000FF"/>
                  <w:w w:val="86"/>
                </w:rPr>
                <w:t>125</w:t>
              </w:r>
            </w:hyperlink>
          </w:p>
        </w:tc>
      </w:tr>
      <w:tr>
        <w:trPr>
          <w:trHeight w:val="210"/>
        </w:trPr>
        <w:tc>
          <w:tcPr>
            <w:tcW w:w="600" w:type="dxa"/>
            <w:vAlign w:val="bottom"/>
            <w:tcBorders>
              <w:top w:val="single" w:sz="8" w:color="0000FF"/>
            </w:tcBorders>
            <w:gridSpan w:val="2"/>
          </w:tcPr>
          <w:p>
            <w:pPr>
              <w:spacing w:after="0"/>
              <w:rPr>
                <w:rFonts w:ascii="Arial" w:cs="Arial" w:eastAsia="Arial" w:hAnsi="Arial"/>
                <w:sz w:val="18"/>
                <w:szCs w:val="18"/>
                <w:color w:val="0000FF"/>
                <w:w w:val="89"/>
              </w:rPr>
            </w:pPr>
            <w:hyperlink w:anchor="page130">
              <w:r>
                <w:rPr>
                  <w:rFonts w:ascii="Arial" w:cs="Arial" w:eastAsia="Arial" w:hAnsi="Arial"/>
                  <w:sz w:val="18"/>
                  <w:szCs w:val="18"/>
                  <w:color w:val="0000FF"/>
                  <w:w w:val="89"/>
                </w:rPr>
                <w:t>Item 11.</w:t>
              </w:r>
            </w:hyperlink>
          </w:p>
        </w:tc>
        <w:tc>
          <w:tcPr>
            <w:tcW w:w="460" w:type="dxa"/>
            <w:vAlign w:val="bottom"/>
            <w:gridSpan w:val="2"/>
          </w:tcPr>
          <w:p>
            <w:pPr>
              <w:spacing w:after="0"/>
              <w:rPr>
                <w:sz w:val="18"/>
                <w:szCs w:val="18"/>
                <w:color w:val="auto"/>
              </w:rPr>
            </w:pPr>
          </w:p>
        </w:tc>
        <w:tc>
          <w:tcPr>
            <w:tcW w:w="4100" w:type="dxa"/>
            <w:vAlign w:val="bottom"/>
            <w:tcBorders>
              <w:top w:val="single" w:sz="8" w:color="0000FF"/>
            </w:tcBorders>
            <w:gridSpan w:val="14"/>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Executive Compensation</w:t>
              </w:r>
            </w:hyperlink>
          </w:p>
        </w:tc>
        <w:tc>
          <w:tcPr>
            <w:tcW w:w="5500" w:type="dxa"/>
            <w:vAlign w:val="bottom"/>
            <w:gridSpan w:val="17"/>
          </w:tcPr>
          <w:p>
            <w:pPr>
              <w:spacing w:after="0"/>
              <w:rPr>
                <w:sz w:val="18"/>
                <w:szCs w:val="18"/>
                <w:color w:val="auto"/>
              </w:rPr>
            </w:pPr>
          </w:p>
        </w:tc>
        <w:tc>
          <w:tcPr>
            <w:tcW w:w="260" w:type="dxa"/>
            <w:vAlign w:val="bottom"/>
            <w:tcBorders>
              <w:top w:val="single" w:sz="8" w:color="0000FF"/>
            </w:tcBorders>
            <w:gridSpan w:val="5"/>
          </w:tcPr>
          <w:p>
            <w:pPr>
              <w:jc w:val="center"/>
              <w:spacing w:after="0"/>
              <w:rPr>
                <w:rFonts w:ascii="Arial" w:cs="Arial" w:eastAsia="Arial" w:hAnsi="Arial"/>
                <w:sz w:val="18"/>
                <w:szCs w:val="18"/>
                <w:color w:val="0000FF"/>
                <w:w w:val="86"/>
              </w:rPr>
            </w:pPr>
            <w:hyperlink w:anchor="page130">
              <w:r>
                <w:rPr>
                  <w:rFonts w:ascii="Arial" w:cs="Arial" w:eastAsia="Arial" w:hAnsi="Arial"/>
                  <w:sz w:val="18"/>
                  <w:szCs w:val="18"/>
                  <w:color w:val="0000FF"/>
                  <w:w w:val="86"/>
                </w:rPr>
                <w:t>125</w:t>
              </w:r>
            </w:hyperlink>
          </w:p>
        </w:tc>
      </w:tr>
      <w:tr>
        <w:trPr>
          <w:trHeight w:val="20"/>
        </w:trPr>
        <w:tc>
          <w:tcPr>
            <w:tcW w:w="6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r>
      <w:tr>
        <w:trPr>
          <w:trHeight w:val="210"/>
        </w:trPr>
        <w:tc>
          <w:tcPr>
            <w:tcW w:w="1060" w:type="dxa"/>
            <w:vAlign w:val="bottom"/>
            <w:gridSpan w:val="4"/>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Item 12.</w:t>
              </w:r>
            </w:hyperlink>
          </w:p>
        </w:tc>
        <w:tc>
          <w:tcPr>
            <w:tcW w:w="9600" w:type="dxa"/>
            <w:vAlign w:val="bottom"/>
            <w:gridSpan w:val="31"/>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Security Ownership of Certain Beneficial Owners and Management and Related Stockholder Matters</w:t>
              </w:r>
            </w:hyperlink>
          </w:p>
        </w:tc>
        <w:tc>
          <w:tcPr>
            <w:tcW w:w="260" w:type="dxa"/>
            <w:vAlign w:val="bottom"/>
            <w:gridSpan w:val="5"/>
          </w:tcPr>
          <w:p>
            <w:pPr>
              <w:jc w:val="center"/>
              <w:spacing w:after="0"/>
              <w:rPr>
                <w:rFonts w:ascii="Arial" w:cs="Arial" w:eastAsia="Arial" w:hAnsi="Arial"/>
                <w:sz w:val="18"/>
                <w:szCs w:val="18"/>
                <w:color w:val="0000FF"/>
                <w:w w:val="86"/>
              </w:rPr>
            </w:pPr>
            <w:hyperlink w:anchor="page130">
              <w:r>
                <w:rPr>
                  <w:rFonts w:ascii="Arial" w:cs="Arial" w:eastAsia="Arial" w:hAnsi="Arial"/>
                  <w:sz w:val="18"/>
                  <w:szCs w:val="18"/>
                  <w:color w:val="0000FF"/>
                  <w:w w:val="86"/>
                </w:rPr>
                <w:t>125</w:t>
              </w:r>
            </w:hyperlink>
          </w:p>
        </w:tc>
      </w:tr>
      <w:tr>
        <w:trPr>
          <w:trHeight w:val="20"/>
        </w:trPr>
        <w:tc>
          <w:tcPr>
            <w:tcW w:w="6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r>
      <w:tr>
        <w:trPr>
          <w:trHeight w:val="209"/>
        </w:trPr>
        <w:tc>
          <w:tcPr>
            <w:tcW w:w="1060" w:type="dxa"/>
            <w:vAlign w:val="bottom"/>
            <w:gridSpan w:val="4"/>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Item 13.</w:t>
              </w:r>
            </w:hyperlink>
          </w:p>
        </w:tc>
        <w:tc>
          <w:tcPr>
            <w:tcW w:w="9600" w:type="dxa"/>
            <w:vAlign w:val="bottom"/>
            <w:gridSpan w:val="31"/>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Certain Relationships and Related Transactions, and Director Independence</w:t>
              </w:r>
            </w:hyperlink>
          </w:p>
        </w:tc>
        <w:tc>
          <w:tcPr>
            <w:tcW w:w="260" w:type="dxa"/>
            <w:vAlign w:val="bottom"/>
            <w:gridSpan w:val="5"/>
          </w:tcPr>
          <w:p>
            <w:pPr>
              <w:jc w:val="center"/>
              <w:spacing w:after="0"/>
              <w:rPr>
                <w:rFonts w:ascii="Arial" w:cs="Arial" w:eastAsia="Arial" w:hAnsi="Arial"/>
                <w:sz w:val="18"/>
                <w:szCs w:val="18"/>
                <w:color w:val="0000FF"/>
                <w:w w:val="86"/>
              </w:rPr>
            </w:pPr>
            <w:hyperlink w:anchor="page130">
              <w:r>
                <w:rPr>
                  <w:rFonts w:ascii="Arial" w:cs="Arial" w:eastAsia="Arial" w:hAnsi="Arial"/>
                  <w:sz w:val="18"/>
                  <w:szCs w:val="18"/>
                  <w:color w:val="0000FF"/>
                  <w:w w:val="86"/>
                </w:rPr>
                <w:t>125</w:t>
              </w:r>
            </w:hyperlink>
          </w:p>
        </w:tc>
      </w:tr>
      <w:tr>
        <w:trPr>
          <w:trHeight w:val="210"/>
        </w:trPr>
        <w:tc>
          <w:tcPr>
            <w:tcW w:w="1060" w:type="dxa"/>
            <w:vAlign w:val="bottom"/>
            <w:tcBorders>
              <w:top w:val="single" w:sz="8" w:color="0000FF"/>
            </w:tcBorders>
            <w:gridSpan w:val="4"/>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Item 14.</w:t>
              </w:r>
            </w:hyperlink>
          </w:p>
        </w:tc>
        <w:tc>
          <w:tcPr>
            <w:tcW w:w="5440" w:type="dxa"/>
            <w:vAlign w:val="bottom"/>
            <w:tcBorders>
              <w:top w:val="single" w:sz="8" w:color="0000FF"/>
            </w:tcBorders>
            <w:gridSpan w:val="26"/>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Principal Accounting Fees and Services</w:t>
              </w:r>
            </w:hyperlink>
          </w:p>
        </w:tc>
        <w:tc>
          <w:tcPr>
            <w:tcW w:w="4160" w:type="dxa"/>
            <w:vAlign w:val="bottom"/>
            <w:gridSpan w:val="5"/>
          </w:tcPr>
          <w:p>
            <w:pPr>
              <w:spacing w:after="0"/>
              <w:rPr>
                <w:sz w:val="18"/>
                <w:szCs w:val="18"/>
                <w:color w:val="auto"/>
              </w:rPr>
            </w:pPr>
          </w:p>
        </w:tc>
        <w:tc>
          <w:tcPr>
            <w:tcW w:w="260" w:type="dxa"/>
            <w:vAlign w:val="bottom"/>
            <w:tcBorders>
              <w:top w:val="single" w:sz="8" w:color="0000FF"/>
            </w:tcBorders>
            <w:gridSpan w:val="5"/>
          </w:tcPr>
          <w:p>
            <w:pPr>
              <w:jc w:val="center"/>
              <w:spacing w:after="0"/>
              <w:rPr>
                <w:rFonts w:ascii="Arial" w:cs="Arial" w:eastAsia="Arial" w:hAnsi="Arial"/>
                <w:sz w:val="18"/>
                <w:szCs w:val="18"/>
                <w:color w:val="0000FF"/>
                <w:w w:val="86"/>
              </w:rPr>
            </w:pPr>
            <w:hyperlink w:anchor="page130">
              <w:r>
                <w:rPr>
                  <w:rFonts w:ascii="Arial" w:cs="Arial" w:eastAsia="Arial" w:hAnsi="Arial"/>
                  <w:sz w:val="18"/>
                  <w:szCs w:val="18"/>
                  <w:color w:val="0000FF"/>
                  <w:w w:val="86"/>
                </w:rPr>
                <w:t>125</w:t>
              </w:r>
            </w:hyperlink>
          </w:p>
        </w:tc>
      </w:tr>
      <w:tr>
        <w:trPr>
          <w:trHeight w:val="210"/>
        </w:trPr>
        <w:tc>
          <w:tcPr>
            <w:tcW w:w="5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40" w:type="dxa"/>
            <w:vAlign w:val="bottom"/>
            <w:gridSpan w:val="15"/>
          </w:tcPr>
          <w:p>
            <w:pPr>
              <w:jc w:val="center"/>
              <w:ind w:right="4760"/>
              <w:spacing w:after="0"/>
              <w:rPr>
                <w:rFonts w:ascii="Arial" w:cs="Arial" w:eastAsia="Arial" w:hAnsi="Arial"/>
                <w:sz w:val="18"/>
                <w:szCs w:val="18"/>
                <w:color w:val="0000FF"/>
                <w:w w:val="89"/>
              </w:rPr>
            </w:pPr>
            <w:hyperlink w:anchor="page130">
              <w:r>
                <w:rPr>
                  <w:rFonts w:ascii="Arial" w:cs="Arial" w:eastAsia="Arial" w:hAnsi="Arial"/>
                  <w:sz w:val="18"/>
                  <w:szCs w:val="18"/>
                  <w:color w:val="0000FF"/>
                  <w:w w:val="89"/>
                </w:rPr>
                <w:t>Part IV.</w:t>
              </w:r>
            </w:hyperlink>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r>
      <w:tr>
        <w:trPr>
          <w:trHeight w:val="210"/>
        </w:trPr>
        <w:tc>
          <w:tcPr>
            <w:tcW w:w="1060" w:type="dxa"/>
            <w:vAlign w:val="bottom"/>
            <w:gridSpan w:val="4"/>
          </w:tcPr>
          <w:p>
            <w:pPr>
              <w:spacing w:after="0"/>
              <w:rPr>
                <w:rFonts w:ascii="Arial" w:cs="Arial" w:eastAsia="Arial" w:hAnsi="Arial"/>
                <w:sz w:val="18"/>
                <w:szCs w:val="18"/>
                <w:color w:val="0000FF"/>
              </w:rPr>
            </w:pPr>
            <w:hyperlink w:anchor="page131">
              <w:r>
                <w:rPr>
                  <w:rFonts w:ascii="Arial" w:cs="Arial" w:eastAsia="Arial" w:hAnsi="Arial"/>
                  <w:sz w:val="18"/>
                  <w:szCs w:val="18"/>
                  <w:color w:val="0000FF"/>
                </w:rPr>
                <w:t>Item 15.</w:t>
              </w:r>
            </w:hyperlink>
          </w:p>
        </w:tc>
        <w:tc>
          <w:tcPr>
            <w:tcW w:w="4280" w:type="dxa"/>
            <w:vAlign w:val="bottom"/>
            <w:gridSpan w:val="17"/>
          </w:tcPr>
          <w:p>
            <w:pPr>
              <w:spacing w:after="0"/>
              <w:rPr>
                <w:rFonts w:ascii="Arial" w:cs="Arial" w:eastAsia="Arial" w:hAnsi="Arial"/>
                <w:sz w:val="18"/>
                <w:szCs w:val="18"/>
                <w:color w:val="0000FF"/>
              </w:rPr>
            </w:pPr>
            <w:hyperlink w:anchor="page131">
              <w:r>
                <w:rPr>
                  <w:rFonts w:ascii="Arial" w:cs="Arial" w:eastAsia="Arial" w:hAnsi="Arial"/>
                  <w:sz w:val="18"/>
                  <w:szCs w:val="18"/>
                  <w:color w:val="0000FF"/>
                </w:rPr>
                <w:t>Exhibits, Financial Statement Schedules</w:t>
              </w:r>
            </w:hyperlink>
          </w:p>
        </w:tc>
        <w:tc>
          <w:tcPr>
            <w:tcW w:w="540" w:type="dxa"/>
            <w:vAlign w:val="bottom"/>
            <w:tcBorders>
              <w:top w:val="single" w:sz="8" w:color="0000FF"/>
            </w:tcBorders>
            <w:gridSpan w:val="6"/>
          </w:tcPr>
          <w:p>
            <w:pPr>
              <w:spacing w:after="0"/>
              <w:rPr>
                <w:sz w:val="18"/>
                <w:szCs w:val="18"/>
                <w:color w:val="auto"/>
              </w:rPr>
            </w:pPr>
          </w:p>
        </w:tc>
        <w:tc>
          <w:tcPr>
            <w:tcW w:w="4780" w:type="dxa"/>
            <w:vAlign w:val="bottom"/>
            <w:gridSpan w:val="8"/>
          </w:tcPr>
          <w:p>
            <w:pPr>
              <w:spacing w:after="0"/>
              <w:rPr>
                <w:sz w:val="18"/>
                <w:szCs w:val="18"/>
                <w:color w:val="auto"/>
              </w:rPr>
            </w:pPr>
          </w:p>
        </w:tc>
        <w:tc>
          <w:tcPr>
            <w:tcW w:w="260" w:type="dxa"/>
            <w:vAlign w:val="bottom"/>
            <w:gridSpan w:val="5"/>
          </w:tcPr>
          <w:p>
            <w:pPr>
              <w:jc w:val="center"/>
              <w:spacing w:after="0"/>
              <w:rPr>
                <w:rFonts w:ascii="Arial" w:cs="Arial" w:eastAsia="Arial" w:hAnsi="Arial"/>
                <w:sz w:val="18"/>
                <w:szCs w:val="18"/>
                <w:color w:val="0000FF"/>
                <w:w w:val="86"/>
              </w:rPr>
            </w:pPr>
            <w:hyperlink w:anchor="page131">
              <w:r>
                <w:rPr>
                  <w:rFonts w:ascii="Arial" w:cs="Arial" w:eastAsia="Arial" w:hAnsi="Arial"/>
                  <w:sz w:val="18"/>
                  <w:szCs w:val="18"/>
                  <w:color w:val="0000FF"/>
                  <w:w w:val="86"/>
                </w:rPr>
                <w:t>127</w:t>
              </w:r>
            </w:hyperlink>
          </w:p>
        </w:tc>
      </w:tr>
      <w:tr>
        <w:trPr>
          <w:trHeight w:val="20"/>
        </w:trPr>
        <w:tc>
          <w:tcPr>
            <w:tcW w:w="6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r>
      <w:tr>
        <w:trPr>
          <w:trHeight w:val="209"/>
        </w:trPr>
        <w:tc>
          <w:tcPr>
            <w:tcW w:w="1060" w:type="dxa"/>
            <w:vAlign w:val="bottom"/>
            <w:gridSpan w:val="4"/>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Item 16.</w:t>
              </w:r>
            </w:hyperlink>
          </w:p>
        </w:tc>
        <w:tc>
          <w:tcPr>
            <w:tcW w:w="9600" w:type="dxa"/>
            <w:vAlign w:val="bottom"/>
            <w:gridSpan w:val="31"/>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Form 10–K Summary</w:t>
              </w:r>
            </w:hyperlink>
          </w:p>
        </w:tc>
        <w:tc>
          <w:tcPr>
            <w:tcW w:w="260" w:type="dxa"/>
            <w:vAlign w:val="bottom"/>
            <w:gridSpan w:val="5"/>
          </w:tcPr>
          <w:p>
            <w:pPr>
              <w:jc w:val="center"/>
              <w:spacing w:after="0"/>
              <w:rPr>
                <w:rFonts w:ascii="Arial" w:cs="Arial" w:eastAsia="Arial" w:hAnsi="Arial"/>
                <w:sz w:val="18"/>
                <w:szCs w:val="18"/>
                <w:color w:val="0000FF"/>
                <w:w w:val="86"/>
              </w:rPr>
            </w:pPr>
            <w:hyperlink w:anchor="page135">
              <w:r>
                <w:rPr>
                  <w:rFonts w:ascii="Arial" w:cs="Arial" w:eastAsia="Arial" w:hAnsi="Arial"/>
                  <w:sz w:val="18"/>
                  <w:szCs w:val="18"/>
                  <w:color w:val="0000FF"/>
                  <w:w w:val="86"/>
                </w:rPr>
                <w:t>131</w:t>
              </w:r>
            </w:hyperlink>
          </w:p>
        </w:tc>
      </w:tr>
      <w:tr>
        <w:trPr>
          <w:trHeight w:val="210"/>
        </w:trPr>
        <w:tc>
          <w:tcPr>
            <w:tcW w:w="5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40" w:type="dxa"/>
            <w:vAlign w:val="bottom"/>
            <w:gridSpan w:val="16"/>
          </w:tcPr>
          <w:p>
            <w:pPr>
              <w:jc w:val="center"/>
              <w:ind w:right="4680"/>
              <w:spacing w:after="0"/>
              <w:rPr>
                <w:rFonts w:ascii="Arial" w:cs="Arial" w:eastAsia="Arial" w:hAnsi="Arial"/>
                <w:sz w:val="18"/>
                <w:szCs w:val="18"/>
                <w:color w:val="0000FF"/>
                <w:w w:val="88"/>
              </w:rPr>
            </w:pPr>
            <w:hyperlink w:anchor="page136">
              <w:r>
                <w:rPr>
                  <w:rFonts w:ascii="Arial" w:cs="Arial" w:eastAsia="Arial" w:hAnsi="Arial"/>
                  <w:sz w:val="18"/>
                  <w:szCs w:val="18"/>
                  <w:color w:val="0000FF"/>
                  <w:w w:val="88"/>
                </w:rPr>
                <w:t>Signatures</w:t>
              </w:r>
            </w:hyperlink>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0920"/>
          </w:cols>
          <w:pgMar w:left="340" w:top="1440" w:right="639" w:bottom="1440" w:gutter="0" w:footer="0" w:header="0"/>
        </w:sectPr>
      </w:pPr>
    </w:p>
    <w:bookmarkStart w:id="3" w:name="page4"/>
    <w:bookmarkEnd w:id="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This Annual Report on Form 10-K (“Annual Report”) contains forward-looking statements. All statements other than statements of historical facts contained in this Annual Report, including statements regarding our future results of operations and financial position, business strategy,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3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Annual Report include, but are not limited to, statements about:</w:t>
      </w:r>
    </w:p>
    <w:p>
      <w:pPr>
        <w:spacing w:after="0" w:line="130" w:lineRule="exact"/>
        <w:rPr>
          <w:sz w:val="20"/>
          <w:szCs w:val="20"/>
          <w:color w:val="auto"/>
        </w:rPr>
      </w:pPr>
    </w:p>
    <w:p>
      <w:pPr>
        <w:ind w:left="660" w:right="8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estimates of our addressable market, market growth, future revenue, key performance indicators, expenses, capital requirements and our needs for additional financing;</w:t>
      </w:r>
    </w:p>
    <w:p>
      <w:pPr>
        <w:spacing w:after="0" w:line="116" w:lineRule="exact"/>
        <w:rPr>
          <w:rFonts w:ascii="Arial" w:cs="Arial" w:eastAsia="Arial" w:hAnsi="Arial"/>
          <w:sz w:val="18"/>
          <w:szCs w:val="18"/>
          <w:color w:val="auto"/>
        </w:rPr>
      </w:pPr>
    </w:p>
    <w:p>
      <w:pPr>
        <w:ind w:left="660" w:right="420" w:hanging="328"/>
        <w:spacing w:after="0" w:line="308" w:lineRule="auto"/>
        <w:tabs>
          <w:tab w:leader="none" w:pos="655"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successfully implement our three phase commercial launch plan, including our ability to add additional collaborators during the collaboration phase and expand to additional key opinion leaders during the early access limited release phase;</w:t>
      </w:r>
    </w:p>
    <w:p>
      <w:pPr>
        <w:spacing w:after="0" w:line="92" w:lineRule="exact"/>
        <w:rPr>
          <w:rFonts w:ascii="Arial" w:cs="Arial" w:eastAsia="Arial" w:hAnsi="Arial"/>
          <w:sz w:val="17"/>
          <w:szCs w:val="17"/>
          <w:color w:val="auto"/>
        </w:rPr>
      </w:pPr>
    </w:p>
    <w:p>
      <w:pPr>
        <w:ind w:left="660" w:right="42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Proteograph Product Suite, including the expected pricing of our SP100 automation instrument and associated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our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our Proteograph Product Suite on the field of proteomics and the size and growth of the addressable proteomics market;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companies and technologies and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effects of government regulation;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hire and retain key personnel and to manage our future growth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volatility of the trading price of our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benefits of the PrognomIQ, Inc. transaction;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local, regional, and national and international economic conditions and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COVID-19 on our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71"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w:t>
      </w:r>
    </w:p>
    <w:p>
      <w:pPr>
        <w:sectPr>
          <w:pgSz w:w="11900" w:h="16838" w:orient="portrait"/>
          <w:cols w:equalWidth="0" w:num="1">
            <w:col w:w="11240"/>
          </w:cols>
          <w:pgMar w:left="320" w:top="1440" w:right="339" w:bottom="1440" w:gutter="0" w:footer="0" w:header="0"/>
        </w:sectPr>
      </w:pPr>
    </w:p>
    <w:bookmarkStart w:id="4" w:name="page5"/>
    <w:bookmarkEnd w:id="4"/>
    <w:p>
      <w:pPr>
        <w:spacing w:after="0" w:line="14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are subject to a number of risks, uncertainties and assumptions described in the section titled “Risk Factors” and elsewhere in this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Annual Report, whether as a result of any new information, future events or otherwise.</w:t>
      </w:r>
    </w:p>
    <w:p>
      <w:pPr>
        <w:spacing w:after="0" w:line="12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ectPr>
          <w:pgSz w:w="11900" w:h="16838" w:orient="portrait"/>
          <w:cols w:equalWidth="0" w:num="1">
            <w:col w:w="11180"/>
          </w:cols>
          <w:pgMar w:left="320" w:top="1440" w:right="399" w:bottom="1440" w:gutter="0" w:footer="0" w:header="0"/>
        </w:sectPr>
      </w:pPr>
    </w:p>
    <w:bookmarkStart w:id="5" w:name="page6"/>
    <w:bookmarkEnd w:id="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solution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Product Suite has the potential to enable researchers to perform proteomics studies at scale, similar to the manner in which next generation sequencing (NGS) technologies have transformed genomics.</w:t>
      </w:r>
    </w:p>
    <w:p>
      <w:pPr>
        <w:spacing w:after="0" w:line="12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 xml:space="preserve">Proteins are the functional units of all forms of life. While deoxyribonucleic acid (DNA) may be used as a static indicator of health risk, proteins are dynamic indicators of physiology and may be used to track health over time, gauge disease progression and monitor therapeutic response. Despite the central role proteins play in biology, the proteome is relatively unexplored compared to the genome, particularly the rich functional content that could be derived from large-scale proteomics studies. We believe large-scale characterization of the proteome has not been feasible with existing proteomics approaches, which broadly fall into two categories: (i) unbiased but not scalable, or (ii) scalable but biased. Current </w:t>
      </w:r>
      <w:r>
        <w:rPr>
          <w:rFonts w:ascii="Arial" w:cs="Arial" w:eastAsia="Arial" w:hAnsi="Arial"/>
          <w:sz w:val="16"/>
          <w:szCs w:val="16"/>
          <w:i w:val="1"/>
          <w:iCs w:val="1"/>
          <w:color w:val="auto"/>
        </w:rPr>
        <w:t>de novo</w:t>
      </w:r>
      <w:r>
        <w:rPr>
          <w:rFonts w:ascii="Arial" w:cs="Arial" w:eastAsia="Arial" w:hAnsi="Arial"/>
          <w:sz w:val="16"/>
          <w:szCs w:val="16"/>
          <w:color w:val="auto"/>
        </w:rPr>
        <w:t>, or unbiased, approaches require complex, lengthy, and labor- and capital-intensive workflows, which limit their scalability to small, under-powered studies, and require significant processing expertise. On the other hand, targeted or biased methods only enable interrogation of a limited number of known proteins per sample. Although biased approaches are scalable, they lack the breadth and depth necessary to appropriately characterize the proteome and catalog its many protein variants. Thus, we believe that proteomics researchers are forced into an unattractive trade-off between the number of samples in a study and the depth and breadth of the analysis. These trade-offs limit researchers’ abilities to advance characterization of the proteome to match the current characterization of the genome. We believe large-scale proteomic analysis is needed for a more complete understanding of biology.</w:t>
      </w:r>
    </w:p>
    <w:p>
      <w:pPr>
        <w:spacing w:after="0" w:line="118"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Much like NGS enabled large-scale access to the genome and transformed science and medicine, we believe that widespread access to unbiased and deep proteomics will lead to novel biological insights, deepen understanding of health and disease, and aid functional characterization of genomic variants. We believe these capabilities appeal to a broad range of researchers and can lead to the creation of substantial end-market opportunities that may extend well beyond human health. We are initially focused on driving adoption of our Proteograph with customers in proteomics and genomics markets, who see the value of large-scale, unbiased, deep proteomics. Allied Market Research estimates the proteomics market was $32 billion in 2019. We believe that our Proteograph’s unique capabilities will enable researchers to undertake studies not possible today, particularly those of larger scale. We also believe that our Proteograph solution will complement genomics technologies by adding critical missing information that can provide functional context to genomic variation. According to the dbSNP database, approximately 695 million individual genetic variants have been identified to date; however, fewer than 0.2% of those variants have been cataloged in the ClinVar database with a reported relationship between variation and phenotype. We believe unbiased, deep and large-scale proteomics can help researchers map biological function of genomic variants, identify the most impactful disease and response-specific risk factors, and accelerate discovery of molecular mechanisms of health and disease. We believe these capabilities will broadly appeal to researchers and entities undertaking large-scale genomics studies. Therefore, we believe we will attract spending from the genomics market, estimated by Technavio to be $21 billion in 2019. In addition to the markets and applications that apply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6" w:name="page7"/>
    <w:bookmarkEnd w:id="6"/>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current proteomics and genomics researchers, we believe our Proteograph is likely to lead to entirely new applications and market opportunities, much like NGS has done in genomics over the last fifteen years.</w:t>
      </w:r>
    </w:p>
    <w:p>
      <w:pPr>
        <w:spacing w:after="0" w:line="11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plan to initially focus on research applications for our Proteograph Product Suite and will sell and market it for research use only (RUO). We plan to commercialize our Proteograph Product Suite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Our first Proteograph was delivered to one of our first collaborators in October 2020, a second Proteograph to another collaborator in December 2020 and a third Proteograph to a third collaborator in March 2021. In consideration of our initial collaborators’ significant contributions to the development of our Proteograph Product Suite, including providing us with helpful data and feedback on our Proteograph, we have offered our early collaborators a special discount program for consumables that is not reflective of our expected commercial pricing. Additionally, we have provided these early collaborators with the ability to purchase our SP100 automation instrument at a discount following the completion of the first phase of our commercialization plan.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 During the second and third phases, we expect to sell our Proteograph Product Suite at list prices though we may offer volume-based discounts on consumables, consistent with industry practice. We believe by following this approach we can appropriately scale our operations, deliver exceptional customer experiences, foster publications and develop a robust pipeline of customers to drive our revenue growth.</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Importance of Proteomics</w:t>
      </w:r>
    </w:p>
    <w:p>
      <w:pPr>
        <w:spacing w:after="0" w:line="1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Proteomics has been a key area of focus for researchers given the utility of the detailed and complex information to understanding biology that resides at the protein level. Virtually every function within a living organism occurs by the action of a protein or a group of proteins interacting with each other and working in concert. For example, enzymes catalyze chemical and biochemical reactions, hormones regulate cellular processes, receptors facilitate signal detection, antibodies provide immunity, and proteins also function in cellular and sub-cellular structure, storage, motility, and transport processes. Proteins are dynamic indicators of status and can be used to track a person’s health, disease progression and therapeutic response. By contrast, DNA is effectively a blueprint of what a person’s physiology could be, not an indicator of current physiological state. In short, DNA represents risk and proteins represent status.</w:t>
      </w:r>
    </w:p>
    <w:p>
      <w:pPr>
        <w:spacing w:after="0" w:line="11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Despite the impact that proteins have on biology and physiology, the human proteome is relatively unexplored compared to the human genome. While the understanding of biology and disease mechanisms has advanced significantly over the past decade through large-scale data collection technologies, we believe these advances have mainly been in genomics. The widespread adoption of molecular profiling techniques, including NGS, has led to the identification of approximately 695 million genetic variations across all genomes that have been sequenced. Although this information has significantly improved the understanding of biology, the functional context at the protein level has not been established for the vast majority of this genomics information. In other words, researchers have not been able to connect phenotypic information with the relevant genotypic information. We believe that if we enable researchers to generate large bodies of proteomic data, to couple with large bodies of genomic data, they will be better positioned to understand the relationship between variation and function and its impact on biology.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40" w:right="3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2031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Challenges of Accessing the Proteome</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human proteome is dynamic and far more complex and diverse in structure, composition and number of variants than either the genome or transcriptome. Starting from the genome, there are multiple biological steps that take place to arrive at the proteome, each step driving increasing complexity and diversity. The human genome of approximately 20,000 genes is estimated to give rise to 1,000,000 or more protein variants, in part because a single gene produces distinct ribonucleic acid (RNA) isoforms through the process of transcription and a myriad of structurally distinct proteins through the process of translation. Biological processes can further chemically modify these proteins in unique ways, resulting in a large number of protein variants through post-translational modifications. Overall, these processes result in many levels of protein diversity, from amino acid sequence and structural variations, to post-translational modifications (PTMs), to functional changes due to interactions between the proteins themselves, known as protein-protein interactions (PPIs). In addition, all of these forms of diversity can differ between states of health and disease. We believe the fundamental challenge with existing proteomics methods is their inability to measure the breadth and depth of the proteome’s complexity, rapidly and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80010</wp:posOffset>
            </wp:positionV>
            <wp:extent cx="5349240" cy="2117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924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Image from Isabell Bludau et al. Proteomic and interactomic insights into the molecular basis of cell functional diversity. </w:t>
      </w:r>
      <w:r>
        <w:rPr>
          <w:rFonts w:ascii="Arial" w:cs="Arial" w:eastAsia="Arial" w:hAnsi="Arial"/>
          <w:sz w:val="14"/>
          <w:szCs w:val="14"/>
          <w:i w:val="1"/>
          <w:iCs w:val="1"/>
          <w:color w:val="auto"/>
        </w:rPr>
        <w:t>Nature Reviews Molecular Cell Biology</w:t>
      </w:r>
      <w:r>
        <w:rPr>
          <w:rFonts w:ascii="Arial" w:cs="Arial" w:eastAsia="Arial" w:hAnsi="Arial"/>
          <w:sz w:val="14"/>
          <w:szCs w:val="14"/>
          <w:color w:val="auto"/>
        </w:rPr>
        <w:t xml:space="preserv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40" w:right="359" w:bottom="1440" w:gutter="0" w:footer="0" w:header="0"/>
        </w:sectPr>
      </w:pPr>
    </w:p>
    <w:bookmarkStart w:id="8" w:name="page9"/>
    <w:bookmarkEnd w:id="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Limitations of Biased Approaches to Proteomics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Unlike DNA, proteins’ structures, chemistries and concentrations in any given sample are widely variable. Proteins also lack a direct amplification mechanism which creates technological challenges for identifying proteins at low concentration. This is different than DNA, which has an inherent and direct amplification mechanism for its replication, a mechanism that researchers have exploited with technologies such as polymerase chain reaction (PCR) for detection of DNA at low concentrations. Given the diversity of protein structures, coupled with the lack of a common amplification mechanism, researchers often use analyte-specific reagents (ASRs) to measure proteins. ASRs are ligands, such as antibodies, that have been designed to bind to specific areas of proteins, and therefore, involve a targeted or biased approach. This biased approach is limited in that ASRs do not have the capability to interrogate the entirety of the protein structure that they bind to and may not detect the presence of important protein variants. The average length of a human protein is approximately 470 amino acids, whereas the average binding site of an ASR is an epitope with a length of five to eight amino acids. ASRs cannot recognize differences between proteins outside of this small epitope binding site and therefore may not differentiate among protein variants. While a large number of ASRs can be designed to detect a large number of different proteins, because this approach is limited in its ability to measure protein variation, we believe that ASRs and other biased approaches are not optimal for discovery given the inherent protein complexity. This limitation of biased approaches is illustrated in the figure below where an antibody is unable to differentiate between two distinct variants of the same protein. If such variants are differentially related to health and disease, such approach may fail to discover important insights. Biased approaches, in general, are useful when the scientist or clinician knows what he or she is specifically analyzing. This is analogous to the role of PCR in genomics, which amplifies a specific DNA fragment in a targeted or biased manner to confirm the presence of a specific mutation, whereas NGS employs an unbiased approach to interrogate the breadth of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88900</wp:posOffset>
            </wp:positionV>
            <wp:extent cx="4500245" cy="213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0024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Limitations of Current Unbiased Approaches to Proteomics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Rather than interrogating proteins at the amino acid level, there are unbiased approaches that interrogate proteins at the peptide level, providing amino-acid level resolution to protein variants. However, current unbiased approaches are limited by lack of scalability due to the vastly different concentrations of different proteins in samples. The concentration of proteins in plasma, for example, can span ten orders of magnitude from the most abundant protein, which is albumin, to some of the least abundant proteins, such as cytokines. The top 22 most abundant proteins account for approximately 99% of the total protein mass in the plasma, yet the many thousands of less abundant proteins comprising the other one percent of the total proteins by mass have significant impact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9" w:name="page10"/>
    <w:bookmarkEnd w:id="9"/>
    <w:p>
      <w:pPr>
        <w:spacing w:after="0" w:line="144"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biology. Therefore, it is critical to be able to broadly and deeply detect proteins across the proteome, including those proteins that appear in low concentrations in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83185</wp:posOffset>
            </wp:positionV>
            <wp:extent cx="4286250" cy="2657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 xml:space="preserve">Mass spectrometry (MS) can be used as an unbiased or biased detection technology, and has been used for detection of proteins and their variants for unbiased discovery, biased research and clinical applications. Given the varying dynamic range of protein concentrations in plasma and other biological samples, current MS methods for proteomic detection require complex sample preparation workflows that involve depletion of abundant proteins and grouping of the remaining proteins into smaller units through fractionation in order to measure deeper into the proteome. We believe current unbiased approaches are not widely adopted by researchers because the workflows, protocols and unit operations are extremely complex, the process is expensive and the time required to complete such analysis is significant. As one example of these complex methods, in a paper from </w:t>
      </w:r>
      <w:r>
        <w:rPr>
          <w:rFonts w:ascii="Arial" w:cs="Arial" w:eastAsia="Arial" w:hAnsi="Arial"/>
          <w:sz w:val="17"/>
          <w:szCs w:val="17"/>
          <w:i w:val="1"/>
          <w:iCs w:val="1"/>
          <w:color w:val="auto"/>
        </w:rPr>
        <w:t>Keshishian, H. et al.</w:t>
      </w:r>
      <w:r>
        <w:rPr>
          <w:rFonts w:ascii="Arial" w:cs="Arial" w:eastAsia="Arial" w:hAnsi="Arial"/>
          <w:sz w:val="17"/>
          <w:szCs w:val="17"/>
          <w:color w:val="auto"/>
        </w:rPr>
        <w:t>, the researchers first depleted the most abundant proteins with immuno-affinity columns and then separated the remaining proteins by many subsequent and complex chromatographic steps and mass spectrometer injections. This approach identified 4,500 different proteins, but only across 16 samples. The study took multiple months to complete.</w:t>
      </w:r>
    </w:p>
    <w:p>
      <w:pPr>
        <w:spacing w:after="0" w:line="12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critical unmet needs in proteomic analysis remain how to collect unbiased proteomic data on thousands of proteins in a sample spanning more than ten orders of dynamic range in concentration and how to do so in thousands of samples at a reasonable cost and in a reasonable amount of time. Genomics faced a similar unmet need before the advent of NGS, which allowed for massively parallel sampling.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Background of Massively Parallel Sampling</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ability to perform massively parallel sampling in biology has been transformational to researchers’ ability to perform large-scale and unbiased biological analysis. For example, before NGS, genomic approaches were not scalable to either read the entire genome or process very large numbers of samples. Researchers could only sequence hundreds of fragments of DNA or RNA at a time, and not easily in parallel. Genetic analysis was limited to biased, shallow genetic studies that were time-consuming and not scalable. As a result, researchers in genomics faced similar challenges that researchers currently face in proteomics. The introduction of NGS enabled massively parallel sampling of small fragments of DNA, allowing researchers to, in parallel, sequence tens of millions, and, through subsequent innovations, currently tens of billions, of fragments of DNA per sample. This transformative approach to sampling enabled genomic sequencing technologies to scale and created the path to genomic end-market opportunities, including basic research and discovery, translational research and clinical applications, including early cancer detection, recurrence monitoring and non-invasive prenatal testing. While there are no assurances that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44"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Proteograph will have the same effect on the proteomics market as NGS technologies have had on the genomics market, given the utility of proteins for measuring function, health and disease, we believe the same, if not a greater, market opportunity exists for providing unbiased, deep, rapid and scalable access to the proteome.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Engineered Nanoparticle Technology</w:t>
      </w:r>
    </w:p>
    <w:p>
      <w:pPr>
        <w:spacing w:after="0" w:line="17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proprietary engineered NP technology overcomes the limitations of existing methods and is the foundation for our Proteograph Product Suite’s easy-to-use workflow for unbiased, deep, rapid and scalable proteomic analysis. Our approach is based on proprietary engineered NPs that enable unbiased and massively parallel sampling of intact proteins across the proteome, capturing a myriad of molecular information at the level of protein variants as well as PPIs. Our NPs are designed to eliminate the need for complex workflows required by other unbiased approaches, which we believe will make proteomics more accessible to the broader scientific community.</w:t>
      </w:r>
    </w:p>
    <w:p>
      <w:pPr>
        <w:spacing w:after="0" w:line="13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diameter of a nanoparticle is typically in the tens to hundreds of nanometers. As a reference, the diameter of the human hair is 80,000 nanometers. When nanoparticles are placed in contact with a biological sample, a thin layer of intact proteins rapidly, selectively and reproducibly adsorbs onto the surface of a nanoparticle upon contact, forming what is called a protein “corona.” Additional intact proteins can also join the corona layer by binding directly to a protein that has already attached to the nanoparticle through PPIs and intact protein complexes may also attach to the nanoparticle directly. Our NPs’ ability to capture whole and intact proteins and their many diverse variants provides access to protein structural information, including information on PPIs. At binding equilibrium, which occurs within minutes after our NPs come into contact with the protein, the selective sampling of proteins by our NPs is robust and highly reproducible.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98425</wp:posOffset>
            </wp:positionV>
            <wp:extent cx="5349240" cy="1842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protein sampling and binding of proteins to the nanoparticle surface are driven by three primary factors: (i) affinity of a given protein for a given nanoparticle’s physicochemical surface; (ii) concentration of a given protein in a biological sample; and (iii) affinity of the proteins for other proteins on the surface of the nanoparticle, forming PPIs. We can use a variety of different methods and materials to design and create different nanoparticles. Each nanoparticle can have distinct physicochemical properties that generate a unique protein corona pattern and a unique proteomic fingerprint. We can combine nanoparticles into panels to provide a representative and thorough sampling across the dynamic range of the proteome, from high to low abundance proteins. In effect, the properties of protein binding to a panel of nanoparticles are functionally equivalent to, and can replace, complex, biochemical laboratory workflows for the preparation of samples for deep, unbiased MS, and which enable the capture of thousands of proteins from biofluids for large-scale proteomics studies. Virtually any solubilized biological sample can be interrogated with nanoparticles, including cell or tissue homogenates, blood or blood components (such as plasma or serum, urine), saliva, cerebrospinal fluid and synovial fluid. The versatility of nanoparticles provides the opportunity to use a vast universe of different nanoparticles with different physicochemical properties to selectively, reproducibly and deeply sample the proteome in an unbiased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4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figure below illustrates the dynamic range of the proteome with high abundance proteins in the upper left of the curve and low abundance proteins in the lower right of the curve. Each of our unique nanoparticles has different physicochemical properties, which allows it to sample selectively across the breadth of the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91440</wp:posOffset>
            </wp:positionV>
            <wp:extent cx="5349240" cy="2143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NPs enable the unique capabilities of our Proteograph Product Suite, including the ability to:</w:t>
      </w:r>
    </w:p>
    <w:p>
      <w:pPr>
        <w:spacing w:after="0" w:line="17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eliminate complex biofluid processing workflows required by other unbiased proteomic approaches;</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sample in an unbiased manner across the dynamic range of the proteome in a variety of biological samples, including cell or tissue homogenates, blood or blood components (such as plasma or serum), urine, saliva, cerebrospinal fluid, and synovial fluid;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identify and distinguish protein variants at the peptide level;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identify and quantify protein variants and PPIs;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 machine learning to design, synthesize and select different NPs and NP panels to create multiple products and applications; and</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be compatible across a wide range of laboratory workflows, automation equipment and sample processing and detection methods, lowering the hurdle for product adoption.</w:t>
      </w:r>
    </w:p>
    <w:p>
      <w:pPr>
        <w:spacing w:after="0" w:line="116"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 xml:space="preserve">We have validated our NP technology and the principle of protein corona formation as a robust and reproducible method to deeply and broadly profile the proteome in a high-throughput manner. In our recent publication in </w:t>
      </w:r>
      <w:r>
        <w:rPr>
          <w:rFonts w:ascii="Arial" w:cs="Arial" w:eastAsia="Arial" w:hAnsi="Arial"/>
          <w:sz w:val="18"/>
          <w:szCs w:val="18"/>
          <w:i w:val="1"/>
          <w:iCs w:val="1"/>
          <w:color w:val="auto"/>
        </w:rPr>
        <w:t>Nature Communications</w:t>
      </w:r>
      <w:r>
        <w:rPr>
          <w:rFonts w:ascii="Arial" w:cs="Arial" w:eastAsia="Arial" w:hAnsi="Arial"/>
          <w:sz w:val="18"/>
          <w:szCs w:val="18"/>
          <w:color w:val="auto"/>
        </w:rPr>
        <w:t xml:space="preserve"> (Blume et al.), we demonstrated a rapid, deep and precise profiling of the plasma proteome with our proprietary engineered NP technology.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Proteograph Product Suite</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proprietary engineered NP technology forms the basis for our first product, the Proteograph Product Suite. Our Proteograph is an integrated solution consisting of consumables, an automation instrument and software to perform unbiased, deep proteomic analysis at scale in a matter of hours. We designed our Proteograph workflow to be efficient and easy-to-use, and to leverage broadly-used laboratory instrumentation to enable adoption in both decentralized and centralized settings and be widely available to life sciences researchers.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Proteograph consumables consist of our NP panel and all other consumables necessary to assay samples on our SP100 automation instrument. Our SP100 automation instrument is custom-configured for researchers to assay samples in approximately seven hours, which includes thirty minutes of set-up time and six and a half hours of automated instrument time. The output from our SP100 automation instrument is peptides ready to be processed on an MS instrument, which is a widely-accessible platform for protein detection. The Proteograph Product Suite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440" w:right="359" w:bottom="1440" w:gutter="0" w:footer="0" w:header="0"/>
        </w:sectPr>
      </w:pPr>
    </w:p>
    <w:bookmarkStart w:id="12" w:name="page13"/>
    <w:bookmarkEnd w:id="12"/>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detector agnostic and, therefore, we believe, will be adaptable to other protein detection instruments in the future. The MS component of our Proteograph workflow is either provided by the researcher’s laboratory or can be outsourced to a third-party provider. We estimate that there are approximately 16,000 MS instruments with configurations typically used to perform proteomic analysis installed worldwide and, therefore, we believe that MS systems are readily accessible by researchers. Finally, we provide a data analytics software suite to analyze the output from the system that helps researchers interpret and gain insights into their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93980</wp:posOffset>
            </wp:positionV>
            <wp:extent cx="5349240" cy="2177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Consumables</w:t>
      </w:r>
    </w:p>
    <w:p>
      <w:pPr>
        <w:spacing w:after="0" w:line="17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For our first Proteograph assay, we will employ a panel of five NPs. Our Proteograph consumables also include buffers and reagents for protein lysis and digestion, peptide purification and peptide quantification. We designed the performance specifications of our Proteograph Product Suite to meet the core needs of the market in terms of protein coverage and sample throughput required for proteomic experiments that are unbiased and at-scale. The product will allow for the interrogation and processing of up to 16 samples by our five proprietary engineered NPs in parallel on a single 96-well plate in approximately seven hours. Eighty wells are arrayed in two groups of columns with eight samples and five particles in each column. The remaining 16 wells are for integrated quality control samples for gathering assay metrics and aid in troubleshooting. We include these quality controls because they greatly facilitate comparison of results across different assays, and also help to differentiate between anomalous versus accurate results in an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80645</wp:posOffset>
            </wp:positionV>
            <wp:extent cx="4629150" cy="2288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2915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1440" w:right="499" w:bottom="1440" w:gutter="0" w:footer="0" w:header="0"/>
        </w:sectPr>
      </w:pPr>
    </w:p>
    <w:bookmarkStart w:id="13" w:name="page14"/>
    <w:bookmarkEnd w:id="13"/>
    <w:p>
      <w:pPr>
        <w:spacing w:after="0" w:line="14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ready availability of the non-particle reagents combined with our ability to efficiently and quickly design different NPs with different properties, greatly simplifies the development and production of future iterations or additional versions of our Proteograph assays to address potential customer needs, such as expanded coverage or specialized assays. Additionally, we can introduce new assays that include a different number of NPs and process different sample numbers. Our customers also can easily process the new assay using their existing SP100 automation instrument, which allows for a greater number of samples to be analyzed in parallel, or additional NPs to analyze the proteome at greater depth.</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Automation Instrument</w:t>
      </w:r>
    </w:p>
    <w:p>
      <w:pPr>
        <w:spacing w:after="0" w:line="171"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We designed our NPs for robust performance in assays run on our SP100 automation instrument, which is a custom-configured industry-standard liquid handling workstation. Our SP100 instrument is designed to be robust and reproducible in its ability to consistently run experiments at the scale of hundreds to thousands of samples. Our instrument allows for rapid highly parallel proteomic sampling of multiple biosamples using multiple NPs on a 96-well plate. The assay protocol is fully automated after approximately thirty minutes of set-up time. The flexibility of our instrument, coupled with the inherent diversity of our NP technology, provides for many potential applications and study workflows that can suit particular experimental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77470</wp:posOffset>
            </wp:positionV>
            <wp:extent cx="2357120" cy="2443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5712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Our SP100 automation instrument has been configured to process one full 96-well plate at a time. For our first Proteograph assay this translates into processing 16 samples in parallel for each 96-well plate run. Our Proteograph Instrument Control Software (PICS) for the SP100 instrument is fixed and tailored to our specified workflow. Each new Proteograph assay will be able to run on our same SP100 automation instrument with a new NP panel and an accompanying software update. After an initial 30 minute set-up process, our first Proteograph assay runs for approximately six and one-half hours on our SP100 automation instrument. The output of our Proteograph assay and instrument is peptides that are quantified, dried, and reconstituted when ready to inject into a mass spectrometer for quantitative detection, either on an MS provided by the user or sent out for MS analysis to a third-party provider.</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Software</w:t>
      </w:r>
    </w:p>
    <w:p>
      <w:pPr>
        <w:spacing w:after="0" w:line="17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Our Proteograph Analysis Suite was designed for ease-of-use and was developed to help users arrive at insights quickly and efficiently following peptide detection by an MS instrument. To accommodate varying customer needs, we have designed our Proteograph Analysis Suite to be deployed as cloud-based and, in the future, on-premise. Both deployment options will provide a predefined workflow for data management and analysis that leverages publicly available MS data analysis tools. Without our Proteograph Analysis Suite, the use of these tools requires expert knowledge and scalable high-performance computer infrastructure to run efficiently. We believe that our Proteograph Analysis Suite could accelerate adoption among non-proteomic experts by providing an intuitive user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440" w:right="359" w:bottom="1440" w:gutter="0" w:footer="0" w:header="0"/>
        </w:sectPr>
      </w:pPr>
    </w:p>
    <w:bookmarkStart w:id="14" w:name="page15"/>
    <w:bookmarkEnd w:id="1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interface that automates and simplifies data handling, processing and analysis, and which provides access to a scalable infrastructure.</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Another potential roadblock for researchers is understanding and evaluating the quality of their results. Our Proteograph assay incorporates a series of controls for monitoring quality of the assay. Our Proteograph Analysis Suite provides an integrated view of the results of these control runs. Using the Proteograph Analysis Suite, the customer can evaluate trends over time and implement performance boundaries around the expected values that flag unexpected outcomes in the data. Providing a simple, consistent interface for customers to evaluate the control data and generate a quality control (QC) report will help them understand our approach to QC in our Proteograph workflow and simplify support. Eventually, user communities might provide an avenue for customers to share their experiences against the backdrop of a common environment and understanding.</w:t>
      </w:r>
    </w:p>
    <w:p>
      <w:pPr>
        <w:spacing w:after="0" w:line="11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expect that our Proteograph Product Suite will enable generation of large volumes of proteomic data, and we have developed our Proteograph Analysis Suite to ensure that handling, management and analysis of data does not create new bottlenecks for researchers. Our Proteograph Analysis Suite offers ease of implementation and addresses key customer needs, which include analysis of raw MS data with pre-configured parameters, integrated QC reporting, the ability to visualize and download the primary data analysis, and statistical analysis tools. Our Proteograph Analysis Suite is highly scalable and is designed to accommodate multi-instrument settings, rapidly expanding data volumes and emerging data analysis tools. Finally, as we continue to improve and extend our product portfolio, we expect to expand our Proteograph Analysis Suite to include advanced data analysis tools, including PPI analysis, mapping of PTMs, genetic polymorphisms, multi-omics integration, and systems biology framework analysis.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From Sample to Data Using our Proteograph Product Suite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Proteomic analysis using our Proteograph Product Suite has five primary steps:</w:t>
      </w:r>
    </w:p>
    <w:p>
      <w:pPr>
        <w:spacing w:after="0" w:line="171" w:lineRule="exact"/>
        <w:rPr>
          <w:sz w:val="20"/>
          <w:szCs w:val="20"/>
          <w:color w:val="auto"/>
        </w:rPr>
      </w:pPr>
    </w:p>
    <w:p>
      <w:pPr>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Particle-Matrix Association</w:t>
      </w:r>
      <w:r>
        <w:rPr>
          <w:rFonts w:ascii="Arial" w:cs="Arial" w:eastAsia="Arial" w:hAnsi="Arial"/>
          <w:sz w:val="18"/>
          <w:szCs w:val="18"/>
          <w:color w:val="auto"/>
        </w:rPr>
        <w:t>. NPs can be mixed with a wide variety of soluble biological sample types (matrices), including cell or tissue</w:t>
      </w:r>
      <w:r>
        <w:rPr>
          <w:rFonts w:ascii="Arial" w:cs="Arial" w:eastAsia="Arial" w:hAnsi="Arial"/>
          <w:sz w:val="18"/>
          <w:szCs w:val="18"/>
          <w:i w:val="1"/>
          <w:iCs w:val="1"/>
          <w:color w:val="auto"/>
        </w:rPr>
        <w:t xml:space="preserve"> </w:t>
      </w:r>
      <w:r>
        <w:rPr>
          <w:rFonts w:ascii="Arial" w:cs="Arial" w:eastAsia="Arial" w:hAnsi="Arial"/>
          <w:sz w:val="18"/>
          <w:szCs w:val="18"/>
          <w:color w:val="auto"/>
        </w:rPr>
        <w:t>homogenates, blood or blood components (such as plasma or serum), urine, saliva, cerebrospinal fluid, and synovial fluid. After combining the biosample and the NP, the mixture is incubated in a solution that mimics physiological conditions, producing protein-corona on the surface of the NPs.</w:t>
      </w:r>
    </w:p>
    <w:p>
      <w:pPr>
        <w:spacing w:after="0" w:line="132"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Protein Corona Wash</w:t>
      </w:r>
      <w:r>
        <w:rPr>
          <w:rFonts w:ascii="Arial" w:cs="Arial" w:eastAsia="Arial" w:hAnsi="Arial"/>
          <w:sz w:val="18"/>
          <w:szCs w:val="18"/>
          <w:color w:val="auto"/>
        </w:rPr>
        <w:t>. NPs are then captured by a magnetic field, after which they undergo repeated cycles of wash with buffer to remove</w:t>
      </w:r>
      <w:r>
        <w:rPr>
          <w:rFonts w:ascii="Arial" w:cs="Arial" w:eastAsia="Arial" w:hAnsi="Arial"/>
          <w:sz w:val="18"/>
          <w:szCs w:val="18"/>
          <w:i w:val="1"/>
          <w:iCs w:val="1"/>
          <w:color w:val="auto"/>
        </w:rPr>
        <w:t xml:space="preserve"> </w:t>
      </w:r>
      <w:r>
        <w:rPr>
          <w:rFonts w:ascii="Arial" w:cs="Arial" w:eastAsia="Arial" w:hAnsi="Arial"/>
          <w:sz w:val="18"/>
          <w:szCs w:val="18"/>
          <w:color w:val="auto"/>
        </w:rPr>
        <w:t>unbound, or loosely bound, proteins.</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Peptide Preparation</w:t>
      </w:r>
      <w:r>
        <w:rPr>
          <w:rFonts w:ascii="Arial" w:cs="Arial" w:eastAsia="Arial" w:hAnsi="Arial"/>
          <w:sz w:val="18"/>
          <w:szCs w:val="18"/>
          <w:color w:val="auto"/>
        </w:rPr>
        <w:t>. Washed NPs are subject to enzymatic digestion to generate peptides, which are collected, quantified, dried and ready for</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MS analysis.</w:t>
      </w:r>
    </w:p>
    <w:p>
      <w:pPr>
        <w:spacing w:after="0" w:line="116"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Mass Spectrometry</w:t>
      </w:r>
      <w:r>
        <w:rPr>
          <w:rFonts w:ascii="Arial" w:cs="Arial" w:eastAsia="Arial" w:hAnsi="Arial"/>
          <w:sz w:val="18"/>
          <w:szCs w:val="18"/>
          <w:color w:val="auto"/>
        </w:rPr>
        <w:t>. The researcher prepares the digested peptides for measurement by dissolution in appropriate peptide reconstitution buffer</w:t>
      </w:r>
      <w:r>
        <w:rPr>
          <w:rFonts w:ascii="Arial" w:cs="Arial" w:eastAsia="Arial" w:hAnsi="Arial"/>
          <w:sz w:val="18"/>
          <w:szCs w:val="18"/>
          <w:i w:val="1"/>
          <w:iCs w:val="1"/>
          <w:color w:val="auto"/>
        </w:rPr>
        <w:t xml:space="preserve"> </w:t>
      </w:r>
      <w:r>
        <w:rPr>
          <w:rFonts w:ascii="Arial" w:cs="Arial" w:eastAsia="Arial" w:hAnsi="Arial"/>
          <w:sz w:val="18"/>
          <w:szCs w:val="18"/>
          <w:color w:val="auto"/>
        </w:rPr>
        <w:t>suitable for MS injection, at a volume and concentration that meets the researcher’s MS instrument and liquid chromatography gradient requirements.</w:t>
      </w:r>
    </w:p>
    <w:p>
      <w:pPr>
        <w:spacing w:after="0" w:line="129" w:lineRule="exact"/>
        <w:rPr>
          <w:rFonts w:ascii="Arial" w:cs="Arial" w:eastAsia="Arial" w:hAnsi="Arial"/>
          <w:sz w:val="18"/>
          <w:szCs w:val="18"/>
          <w:color w:val="auto"/>
        </w:rPr>
      </w:pPr>
    </w:p>
    <w:p>
      <w:pPr>
        <w:jc w:val="both"/>
        <w:ind w:left="660" w:right="8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Data analysis. </w:t>
      </w:r>
      <w:r>
        <w:rPr>
          <w:rFonts w:ascii="Arial" w:cs="Arial" w:eastAsia="Arial" w:hAnsi="Arial"/>
          <w:sz w:val="18"/>
          <w:szCs w:val="18"/>
          <w:color w:val="auto"/>
        </w:rPr>
        <w:t>After data acquisition, typical MS analysis methods are employed within our Proteograph Analysis Suite to identify and quantify</w:t>
      </w:r>
      <w:r>
        <w:rPr>
          <w:rFonts w:ascii="Arial" w:cs="Arial" w:eastAsia="Arial" w:hAnsi="Arial"/>
          <w:sz w:val="18"/>
          <w:szCs w:val="18"/>
          <w:i w:val="1"/>
          <w:iCs w:val="1"/>
          <w:color w:val="auto"/>
        </w:rPr>
        <w:t xml:space="preserve"> </w:t>
      </w:r>
      <w:r>
        <w:rPr>
          <w:rFonts w:ascii="Arial" w:cs="Arial" w:eastAsia="Arial" w:hAnsi="Arial"/>
          <w:sz w:val="18"/>
          <w:szCs w:val="18"/>
          <w:color w:val="auto"/>
        </w:rPr>
        <w:t>the peptides and proteins in the sample. Quality control metrics are reported for the MS sample data, sample data summaries and output files are created, and initial cross-sample analyses are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1440" w:right="45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1305560</wp:posOffset>
            </wp:positionH>
            <wp:positionV relativeFrom="page">
              <wp:posOffset>1014730</wp:posOffset>
            </wp:positionV>
            <wp:extent cx="5143500" cy="2486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14350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Given the seven-hour run time per plate for our initial five-NP panel, our Proteograph Product Suite could process 48 samples in a 24-hour period for unbiased and deep proteomic analysis. By comparison, the workflows developed by leading proteomics labs can take as long as several days to weeks, for sample preparation for MS measurement to reach an equivalent depth of proteomic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91440</wp:posOffset>
            </wp:positionV>
            <wp:extent cx="5143500" cy="2057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Proteograph Product Suite Performance</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four key technical attributes of our Proteograph Product Suite are its breadth of protein sampling, depth of coverage, accuracy and precision of measurement. In addition to its technical performance, our SP100 automation instrument’s rapid throughput is an important characteristic to scale the number of samples assayed. We believe that our Proteograph Product Suite is the only product to provide these technical and operational capabilities in an integrated solution to enable large-scale proteomic analysis. As described below, we discuss the performance of our first Proteograph assay relative to existing unbiased proteomics methods across the technical attributes of breadth, depth, accuracy and precision of measurement and the operational aspect of throughput.</w:t>
      </w:r>
    </w:p>
    <w:p>
      <w:pPr>
        <w:spacing w:after="0" w:line="138" w:lineRule="exact"/>
        <w:rPr>
          <w:sz w:val="20"/>
          <w:szCs w:val="20"/>
          <w:color w:val="auto"/>
        </w:rPr>
      </w:pPr>
    </w:p>
    <w:p>
      <w:pPr>
        <w:ind w:left="660" w:right="20" w:hanging="328"/>
        <w:spacing w:after="0" w:line="25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Breadth of protein sampling. </w:t>
      </w:r>
      <w:r>
        <w:rPr>
          <w:rFonts w:ascii="Arial" w:cs="Arial" w:eastAsia="Arial" w:hAnsi="Arial"/>
          <w:sz w:val="18"/>
          <w:szCs w:val="18"/>
          <w:color w:val="auto"/>
        </w:rPr>
        <w:t>Breadth of protein sampling refers to our Proteograph Product Suite’s ability to conduct unbiased, highly parallel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sampling of the proteome across its entire dynamic range, from high to low abundant proteins. Given the unique characteristics of our NPs, our Proteograph Product Suite allows for the unbiased highly parallel sampling of the proteome, and it does this across its entire dynamic range from high to low abundant proteins. Each uniquely engineered NP selectively captures hundreds of distinct intact proteins from a biosample based on their abundance and affinity for the NP surface. Our Proteograph</w:t>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20"/>
          </w:cols>
          <w:pgMar w:left="320" w:top="1440" w:right="459" w:bottom="1440" w:gutter="0" w:footer="0" w:header="0"/>
          <w:type w:val="continuous"/>
        </w:sectPr>
      </w:pPr>
    </w:p>
    <w:bookmarkStart w:id="16" w:name="page17"/>
    <w:bookmarkEnd w:id="16"/>
    <w:p>
      <w:pPr>
        <w:spacing w:after="0" w:line="14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solution leverages a panel of unique NPs to capture significantly more proteins and protein variants than current methods of unbiased proteomic analysis, as shown in the figure below. This advantage of our Proteograph Product Suite is particularly strong in complex biofluids such as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53340</wp:posOffset>
            </wp:positionV>
            <wp:extent cx="1285875" cy="3197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As illustrated above, we compared our Proteograph Product Suite with other unbiased proteomics methods in a head-to-head experiment using the same biological sample. Neat plasma represents the simplest form of unbiased proteomic analysis, requiring minimal processing time, and resulted in a breadth of coverage of 312 proteins. By adding processing steps such as depletion of high abundance proteins and separation of the remaining proteins into multiple fractions (a process called fractionation), the breadth of protein sampling increased to 670 proteins. However, with our Proteograph solution, we detected 1,656 proteins in plasma, which represents a major expansion in breadth of protein coverage.</w:t>
      </w:r>
    </w:p>
    <w:p>
      <w:pPr>
        <w:spacing w:after="0" w:line="122" w:lineRule="exact"/>
        <w:rPr>
          <w:sz w:val="20"/>
          <w:szCs w:val="20"/>
          <w:color w:val="auto"/>
        </w:rPr>
      </w:pPr>
    </w:p>
    <w:p>
      <w:pPr>
        <w:ind w:left="660" w:right="40" w:hanging="328"/>
        <w:spacing w:after="0" w:line="270"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Depth of coverage. </w:t>
      </w:r>
      <w:r>
        <w:rPr>
          <w:rFonts w:ascii="Arial" w:cs="Arial" w:eastAsia="Arial" w:hAnsi="Arial"/>
          <w:sz w:val="17"/>
          <w:szCs w:val="17"/>
          <w:color w:val="auto"/>
        </w:rPr>
        <w:t>Depth of coverage refers to our Proteograph’s ability to evaluate the proteome across the wide dynamic range of abundance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proteins. The range from the most abundant to the least abundant protein in biological samples can vary greatly. In plasma, this range is estimated to be at least ten orders of magnitude, and the rich diversity of biology resides outside the most abundant proteins. Sampling across the entire dynamic range has been one of the seminal challenges in the field of proteomics. Conventional approaches to address this challenge have employed laborious depletion and fractionation methods, which can be avoided with the automated and scalable workflow of our Proteograph Product Suite. We compared the depth of coverage of our solution with other unbiased proteomic methods in a head-to-head experiment, shown in the figure below. Our Proteograph assay samples proteins across the entire dynamic range of the plasma proteome, as defined in the Human Plasma Proteome Project database (Schwenk et al.), with the 75th percentile point of depth of coverage shown with the orange bar. The depth of coverage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44" w:lineRule="exact"/>
        <w:rPr>
          <w:sz w:val="20"/>
          <w:szCs w:val="20"/>
          <w:color w:val="auto"/>
        </w:rPr>
      </w:pPr>
    </w:p>
    <w:p>
      <w:pPr>
        <w:ind w:left="328"/>
        <w:spacing w:after="0"/>
        <w:rPr>
          <w:sz w:val="20"/>
          <w:szCs w:val="20"/>
          <w:color w:val="auto"/>
        </w:rPr>
      </w:pPr>
      <w:r>
        <w:rPr>
          <w:rFonts w:ascii="Arial" w:cs="Arial" w:eastAsia="Arial" w:hAnsi="Arial"/>
          <w:sz w:val="18"/>
          <w:szCs w:val="18"/>
          <w:color w:val="auto"/>
        </w:rPr>
        <w:t>Proteograph assay reaches further into the low abundant proteins than the fractionation, depletion and neat plasma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117475</wp:posOffset>
            </wp:positionV>
            <wp:extent cx="4286250" cy="3111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8625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28" w:hanging="328"/>
        <w:spacing w:after="0" w:line="271" w:lineRule="auto"/>
        <w:tabs>
          <w:tab w:leader="none" w:pos="323"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Accuracy of measurement. </w:t>
      </w:r>
      <w:r>
        <w:rPr>
          <w:rFonts w:ascii="Arial" w:cs="Arial" w:eastAsia="Arial" w:hAnsi="Arial"/>
          <w:sz w:val="17"/>
          <w:szCs w:val="17"/>
          <w:color w:val="auto"/>
        </w:rPr>
        <w:t>Accuracy refers to how close the measured abundance of a protein is to the true abundance in a sample. Accuracy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protein abundance measurement can be demonstrated by MS signal intensity of the proteins sampled with our Proteograph assay, and comparing these values with measurements obtained directly by immuno-assay (ELISA). In the below experiment, purified C-Reactive Protein (CRP) was added or “spiked” in to plasma at levels of 2x, 5x, 10x, and 100x of the baseline measured levels for CRP in the plasma. These samples with known concentrations of CRP were then interrogated with our Proteograph Product Suite and ELISA. The figure shows the linearity of measurement , as determined by MS signal intensity of four peptides within CRP when compared to the ELISA measurement of CRP. Our Proteograph assay can distinguish changes in protein abundance with significant accuracy, as demonstrated by a slope response approximately equal to one and an r-squared value greater than 0.95.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88265</wp:posOffset>
            </wp:positionV>
            <wp:extent cx="2571750" cy="2143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sectPr>
          <w:pgSz w:w="11900" w:h="16838" w:orient="portrait"/>
          <w:cols w:equalWidth="0" w:num="1">
            <w:col w:w="10728"/>
          </w:cols>
          <w:pgMar w:left="652" w:top="144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32"/>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728"/>
          </w:cols>
          <w:pgMar w:left="652" w:top="1440" w:right="519" w:bottom="1440" w:gutter="0" w:footer="0" w:header="0"/>
          <w:type w:val="continuous"/>
        </w:sectPr>
      </w:pPr>
    </w:p>
    <w:bookmarkStart w:id="18" w:name="page19"/>
    <w:bookmarkEnd w:id="18"/>
    <w:p>
      <w:pPr>
        <w:spacing w:after="0" w:line="144" w:lineRule="exact"/>
        <w:rPr>
          <w:sz w:val="20"/>
          <w:szCs w:val="20"/>
          <w:color w:val="auto"/>
        </w:rPr>
      </w:pPr>
    </w:p>
    <w:p>
      <w:pPr>
        <w:ind w:left="328" w:hanging="328"/>
        <w:spacing w:after="0" w:line="287" w:lineRule="auto"/>
        <w:tabs>
          <w:tab w:leader="none" w:pos="323"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Precision of measurement. </w:t>
      </w:r>
      <w:r>
        <w:rPr>
          <w:rFonts w:ascii="Arial" w:cs="Arial" w:eastAsia="Arial" w:hAnsi="Arial"/>
          <w:sz w:val="16"/>
          <w:szCs w:val="16"/>
          <w:color w:val="auto"/>
        </w:rPr>
        <w:t>Precision refers to how close several measurements of protein abundance in the same sample are to each other. 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precision in the measurement of a protein adds noise to an experiment, requiring a larger number of samples in the study to observe a true difference. Precision is typically measured as the coefficient of variation (CV%), or standard deviation divided by the mean times 100. Therefore, a lower CV% represents a more precise outcome. We compared the precision of our Proteograph solution with that of depletion, fractionation, and neat, by evaluating the same sample three times and calculating the CV% for the detected peptides and proteins. On average across the peptides, the median precision was 16.9 CV%. At this level of performance, our Proteograph has 80% statistical power to detect a 50% change in a peptide levels with only ten samples per sample group. Our analysis shows lower CV%s than fractionation and depletion methods, which is notable since we achieve lower CV%s while concurrently sampling significantly more proteins, as shown in the figure below. In general, in unbiased assays, CV%s are expected to increase as the number of analytes detected increases. However, our Proteograph assay can increase the number of analytes that it detects while achieving comparatively better CV%s. Although neat plasma has a lower CV%, it is limited in the breadth of protein coverage to 312 proteins compared to 1,652 proteins sampled by our Proteograph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83820</wp:posOffset>
            </wp:positionV>
            <wp:extent cx="1714500" cy="2640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8"/>
          </w:cols>
          <w:pgMar w:left="652" w:top="1440" w:right="359" w:bottom="1440" w:gutter="0" w:footer="0" w:header="0"/>
        </w:sectPr>
      </w:pPr>
    </w:p>
    <w:bookmarkStart w:id="19" w:name="page20"/>
    <w:bookmarkEnd w:id="19"/>
    <w:p>
      <w:pPr>
        <w:spacing w:after="0" w:line="140" w:lineRule="exact"/>
        <w:rPr>
          <w:sz w:val="20"/>
          <w:szCs w:val="20"/>
          <w:color w:val="auto"/>
        </w:rPr>
      </w:pPr>
    </w:p>
    <w:p>
      <w:pPr>
        <w:ind w:left="660" w:hanging="328"/>
        <w:spacing w:after="0" w:line="287"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Rapid and large-scale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Proteograph Product Suite enables rapid and large-scale proteomic sample processing in a seven-hour workflow,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compared to other unbiased solutions that can take days to weeks. We reviewed major published plasma and serum proteomics studies from 2016 to 2019 to compare protein coverage, throughput and sample size. We have compared the results of 14 published unbiased, deep proteomics studies with the results from our recent </w:t>
      </w:r>
      <w:r>
        <w:rPr>
          <w:rFonts w:ascii="Arial" w:cs="Arial" w:eastAsia="Arial" w:hAnsi="Arial"/>
          <w:sz w:val="16"/>
          <w:szCs w:val="16"/>
          <w:i w:val="1"/>
          <w:iCs w:val="1"/>
          <w:color w:val="auto"/>
        </w:rPr>
        <w:t>Nature Communications</w:t>
      </w:r>
      <w:r>
        <w:rPr>
          <w:rFonts w:ascii="Arial" w:cs="Arial" w:eastAsia="Arial" w:hAnsi="Arial"/>
          <w:sz w:val="16"/>
          <w:szCs w:val="16"/>
          <w:color w:val="auto"/>
        </w:rPr>
        <w:t xml:space="preserve"> paper (Blume et al.). While unbiased proteomics studies are vastly different in terms of their workflows, they may be considered more comparable in the quantifiable outputs of protein coverage, the amount of MS time required for the study and number of samples in the study. We only utilize the published MS time and did not account for up-front sample processing time. We examined these three outputs from the literature review against our published study. While we do not consider this to be a head-to-head comparison, it does provide general guidance to understand the comparative performance of our assay. We observed an average protein coverage of 1,960, with an average throughput of 1.5 proteins per minute, and average study size of 15 samples. This compares to our protein coverage of 2,094, a throughput of 14.2 proteins per minute, and study size of 141 samples. This advantage in throughput reflects only the MS time and does not include the additional throughput advantages of our SP100 automation instrument, which enables simpler and faster sample processing, which is otherwise also a lengthy part of unbiased studies.</w:t>
      </w:r>
    </w:p>
    <w:p>
      <w:pPr>
        <w:spacing w:after="0" w:line="118"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believe that our studies demonstrate that our Proteograph Product Suite has a unique combination of attributes spanning breadth, depth, accuracy and precision of measurement and throughput necessary for large-scale proteomics studies. We believe our Proteograph solution will broadly appeal to researchers seeking an easy to use, scalable approach for such studies.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17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proteome comprises millions of protein variants whose expression varies by cell, tissue, organ and system, as well as across time, and whose interaction with other proteins and biomolecules are essential to driving health and disease. No commercial product has existed that enables researchers to assess the proteome deeply, broadly, rapidly and at scale across thousands of samples. Despite this limitation, researchers rely on laborious, expensive and complex methods to survey as much of the proteome as they can. While NGS transformed life sciences end-markets through massively parallel access to the genome, lack of similar unbiased, deep, rapid and large-scale capabilities has to date evaded the field of proteomics. We believe our Proteograph Product Suite enables such access to the proteome, and will allow researchers to undertake the scale of studies we believe are needed to understand the complexity of the proteome, and by extension biology.</w:t>
      </w:r>
    </w:p>
    <w:p>
      <w:pPr>
        <w:spacing w:after="0" w:line="123"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We believe the two primary near-term markets for our Proteograph Product Suite are the proteomics market, which was $32 billion in 2019, according to Allied Market Research, and the genomics market, which was $21 billion in 2019, according to Technavio. Within these markets, potential applications of our Proteograph solution span basic research and discovery, translational research, diagnostics and applied applications. Of the $32 billion proteomics market, $25 billion is estimated to be spent on reagents, $5 billion on instruments, and $2 billion on services. In the near-term, we believe we will compete in both the proteomics reagent and instrument markets. Furthermore, the $21 billion genomics market consists of approximately $13 billion spent on products and $7 billion spent on services. In the near-term, we believe we will be able to garner spend from both products and services as genomic customers link genotype to phenotype by supplementing existing genomic data with proteomics data. While we initially plan to sell and market our Proteograph Product Suite for RUO, we believe that the capabilities of our Proteograph Product Suite may enable our customers to use our Proteograph in other applications. While we currently do not intend to pursue clinical diagnostics applications, we may in the future seek premarket approval or clearance for our Proteograph Product Suite in order to allow our customers to use our Proteograph in other product offerings. We believe that our Proteograph Product Suite’s unique value proposition will resonate with proteomics researchers who already value deep and unbiased proteomic information, and who desire to scale experiments to far greater sample sizes at a fraction of the time and cost of current approaches. We also believe that as more genomics researchers incorporate other -omics approaches to elucidate key genomic findings, our Proteograph will uniquely provide large-scale, unbiased and deep proteomic information to complement genomic information, and enable researchers to gain a clearer picture of biology and a deeper understanding of genomic risk factors. Longer-term, we believe that the capabilities offered by our Proteograph Product Suite and future products may potentially lead to new end-markets, applications, and business models that complement existing proteomics and genomics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320" w:top="1440" w:right="39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1416685</wp:posOffset>
            </wp:positionH>
            <wp:positionV relativeFrom="page">
              <wp:posOffset>1271905</wp:posOffset>
            </wp:positionV>
            <wp:extent cx="4928870" cy="2940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492887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Proteomics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Allied Market Research estimates the global proteomics market was $32 billion in 2019, and is expected to grow to $64 billion in 2024, representing a 15% compound annual growth rate. According to Allied Market Research, 60% of the proteomics market is focused on life sciences research, 35% for clinical applications and 5% other applications. Products in the proteomics market include spectrometry, microarray and chromatography instruments as well as reagents, used for both unbiased and biased proteomics. The majority of proteomic analysis to date either relies on biased or targeted methods or expensive, complex, and laborious unbiased or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deep methods that are applied only to tens of samples versus the thousands needed to power large-scale studies. Few methods are based on capture of intact proteins that enable analysis of proteome complexity at the level of amino acid variants, PTMs and PPIs, all of which have the potential to generate important biological insights. We believe the unique capabilities of our Proteograph Product Suite will appeal to researchers either as a complement or substitute for current approaches, or in creating an entirely novel path to survey the proteome. We estimate that there are approximately 16,000 MS instruments with configurations typically used to perform proteomic analysis installed worldwide. Since our Proteograph can leverage most MS instruments as a detector, we believe that we can take advantage of this installed base to accelerate adoption. We believe that we have an opportunity to provide a strong alternative to both unbiased and biased proteomics approaches, particularly in the discovery of new biology, and to grow the proteomics market by enabling new applications for unbiased proteomics. These applications currently span research, translational and clinical settings, and we believe that our Proteograph Product Suite can address all these applications over time.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Genomics</w:t>
      </w:r>
    </w:p>
    <w:p>
      <w:pPr>
        <w:spacing w:after="0" w:line="171"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Technavio estimates the global genomics market was $21 billion in 2019 and is expected to grow to $38 billion by 2024, representing a 13% compound annual growth rate. Over the last fifteen years, application of large-scale genomics across the population has led to discovery of approximately 695 million individual human variants and it is expected the total number of such variants will only expand as more exomes and genomes are sequenced. However, despite this impressive rate of variant discovery, fewer than 0.2% of those variants have been cataloged in the ClinVar database with a reported relationship between genetic variation and phenotype. We believe that large-scale deep, unbiased proteomics studies, such as those our Proteograph solution could enable, will provide important missing biological information to improve functional characterization of genomic variants. In genomics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complementing large-scale genomics analysis with large-scale proteomic analysis has the potential to enhance and accelerate our understanding of biology, human health and ultimately the treatment of disease. Therefore, we believe our Proteograph solution can appeal to an increasing number of genomics customers, especially those in translational settings, who are looking to leverage multi-omics approaches to further annotate genomic variants in terms of function and connect genotype to phenotype.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Markets</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also believe that our Proteograph Product Suite will enable novel applications and insights leading to new end-markets, similar to the impact that broad access to genomics products have had in creating new applications, end-markets and business models. For example, non-invasive prenatal testing and precision oncology currently make up a significant part of the current $21 billion genomics market, yet we believe that it would have been difficult to anticipate these market opportunities a decade ago. We believe the same dynamic of new market creation will occur in proteomics. One such application for proteomics is early disease detection. We spun out a new entity, PrognomIQ, Inc. (PrognomIQ), which aims to develop and commercialize novel diagnostic tests that leverage our Proteograph Product Suite in combination with genomics and metabolomics information, and will be a participant in the existing ecosystem of early disease detection. More broadly, we believe our Proteograph solution has the potential to further stimulate growth of new applications and end-markets in additional ecosystems.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Advantages of Our Proteograph Product Suite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Proteograph Product Suite and its underlying NP technology have the following advantages:</w:t>
      </w:r>
    </w:p>
    <w:p>
      <w:pPr>
        <w:spacing w:after="0" w:line="171" w:lineRule="exact"/>
        <w:rPr>
          <w:sz w:val="20"/>
          <w:szCs w:val="20"/>
          <w:color w:val="auto"/>
        </w:rPr>
      </w:pPr>
    </w:p>
    <w:p>
      <w:pPr>
        <w:ind w:left="340" w:right="140" w:hanging="332"/>
        <w:spacing w:after="0" w:line="273" w:lineRule="auto"/>
        <w:tabs>
          <w:tab w:leader="none" w:pos="33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Proteograph Product Suite is expected to be the first commercially available solution to provide the combination of unbiased, deep, rapid and large-scale access to the proteome. </w:t>
      </w:r>
      <w:r>
        <w:rPr>
          <w:rFonts w:ascii="Arial" w:cs="Arial" w:eastAsia="Arial" w:hAnsi="Arial"/>
          <w:sz w:val="17"/>
          <w:szCs w:val="17"/>
          <w:color w:val="auto"/>
        </w:rPr>
        <w:t>While other proteomics technologies exist today, we believe that our Proteograph Product Suite is the first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only product to provide the combination of these four attributes in a single integrated solution with an easy-to-use workflow. We believe these capabilities fill a gap that to date has been one of the rate-limiting steps in unlocking the complexity of biology. This creates a unique opportunity for us to drive widespread adoption of our solution, transform proteomics and biological research, and establish our Proteograph Product Suite as the industry standard for generating deep, unbiased proteomic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87630</wp:posOffset>
            </wp:positionV>
            <wp:extent cx="5349240" cy="2108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right="60" w:hanging="332"/>
        <w:spacing w:after="0" w:line="255"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Proteograph Product Suite provides insight into protein variation and PPIs at a depth and scale that we believe sets a new standard for unbiased and deep proteomics, and is unattainable with other existing approaches. </w:t>
      </w:r>
      <w:r>
        <w:rPr>
          <w:rFonts w:ascii="Arial" w:cs="Arial" w:eastAsia="Arial" w:hAnsi="Arial"/>
          <w:sz w:val="18"/>
          <w:szCs w:val="18"/>
          <w:color w:val="auto"/>
        </w:rPr>
        <w:t>The ability to observe the myriad of possible protein variations,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go beyond simple total protein abundance, with the accuracy and precision necessary to extract useful insights across large numbers of subjects, is a key differentiating attribute of our solution. Furthermore, capturing these variations at scale enables synergistic insights when combined with genomic variations, finally enabling the development of informative, individualized models of biology at population scale. As noted in the figure above, biased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44" w:lineRule="exact"/>
        <w:rPr>
          <w:sz w:val="20"/>
          <w:szCs w:val="20"/>
          <w:color w:val="auto"/>
        </w:rPr>
      </w:pPr>
    </w:p>
    <w:p>
      <w:pPr>
        <w:ind w:left="332" w:right="20"/>
        <w:spacing w:after="0" w:line="259" w:lineRule="auto"/>
        <w:rPr>
          <w:sz w:val="20"/>
          <w:szCs w:val="20"/>
          <w:color w:val="auto"/>
        </w:rPr>
      </w:pPr>
      <w:r>
        <w:rPr>
          <w:rFonts w:ascii="Arial" w:cs="Arial" w:eastAsia="Arial" w:hAnsi="Arial"/>
          <w:sz w:val="18"/>
          <w:szCs w:val="18"/>
          <w:color w:val="auto"/>
        </w:rPr>
        <w:t>approaches can capture individual proteins at scale, but are not readily able to capture protein variants at scale. Current unbiased approaches are able to capture some protein variants at the peptide level and can capture polymorphisms and PTMs, but not at scale. Moreover, these unbiased approaches are not able to capture PPIs and protein pathway information at scale. We believe that our Proteograph Product Suite is uniquely positioned to fully capture the breadth, depth and the complexity of the proteome at scale.</w:t>
      </w:r>
    </w:p>
    <w:p>
      <w:pPr>
        <w:spacing w:after="0" w:line="133" w:lineRule="exact"/>
        <w:rPr>
          <w:sz w:val="20"/>
          <w:szCs w:val="20"/>
          <w:color w:val="auto"/>
        </w:rPr>
      </w:pPr>
    </w:p>
    <w:p>
      <w:pPr>
        <w:ind w:left="332" w:hanging="332"/>
        <w:spacing w:after="0" w:line="271" w:lineRule="auto"/>
        <w:tabs>
          <w:tab w:leader="none" w:pos="327"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Proteograph Product Suite was designed to enable broad adoption across a wide variety of customers in both decentralized and centralized settings. </w:t>
      </w:r>
      <w:r>
        <w:rPr>
          <w:rFonts w:ascii="Arial" w:cs="Arial" w:eastAsia="Arial" w:hAnsi="Arial"/>
          <w:sz w:val="17"/>
          <w:szCs w:val="17"/>
          <w:color w:val="auto"/>
        </w:rPr>
        <w:t>Our Proteograph Product Suite is an integrated solution comprised of consumables, an automation instrument and software, and was designed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deliver ease-of-use, efficiency, robustness and reproducibility of results and to complement existing laboratory infrastructure. Our Proteograph’s simple and integrated workflow enables the customer to use their own MS instrument or leverage a widely available installed base of MS instruments . We estimate that there are approximately 16,000 MS instruments with configurations typically used to perform proteomic analysis installed worldwide. Since our Proteograph solution can leverage most MS instruments as a detector, we believe that we can take advantage of this installed base to accelerate adoption. We believe these characteristics will facilitate broad adoption of our Proteograph solution across a variety of laboratories and institutions in both decentralized and centralized settings.</w:t>
      </w:r>
    </w:p>
    <w:p>
      <w:pPr>
        <w:spacing w:after="0" w:line="124" w:lineRule="exact"/>
        <w:rPr>
          <w:rFonts w:ascii="Arial" w:cs="Arial" w:eastAsia="Arial" w:hAnsi="Arial"/>
          <w:sz w:val="17"/>
          <w:szCs w:val="17"/>
          <w:color w:val="auto"/>
        </w:rPr>
      </w:pPr>
    </w:p>
    <w:p>
      <w:pPr>
        <w:ind w:left="332" w:right="60" w:hanging="332"/>
        <w:spacing w:after="0" w:line="290" w:lineRule="auto"/>
        <w:tabs>
          <w:tab w:leader="none" w:pos="327"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proprietary engineered NPs are a core technology from which we can develop a range of products, applications and platforms. </w:t>
      </w:r>
      <w:r>
        <w:rPr>
          <w:rFonts w:ascii="Arial" w:cs="Arial" w:eastAsia="Arial" w:hAnsi="Arial"/>
          <w:sz w:val="16"/>
          <w:szCs w:val="16"/>
          <w:color w:val="auto"/>
        </w:rPr>
        <w:t>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evaluated over 275 different NPs with diverse sets of physicochemical properties, from which our five NPs for our first Proteograph assay were selected. From our growing and diverse NP library, we can develop new arrays of NP consumables that address a variety of applications and customer needs. We plan to use machine learning techniques and apply large-scale data analyses of our NP binding properties to understand relationships between NP surfaces and protein binding and interactions in order to rationally design our NP panels. Our NPs are versatile and can be designed to work with different sample types from plasma to homogenized tissue and collect proteomic, molecular and other -omics information. We believe these characteristics will enable development of additional differentiated products to enable our customers to utilize applications across the life sciences industry, ranging from basic research and discovery, translational research, diagnostics and applied applications.</w:t>
      </w:r>
    </w:p>
    <w:p>
      <w:pPr>
        <w:spacing w:after="0" w:line="111" w:lineRule="exact"/>
        <w:rPr>
          <w:rFonts w:ascii="Arial" w:cs="Arial" w:eastAsia="Arial" w:hAnsi="Arial"/>
          <w:sz w:val="16"/>
          <w:szCs w:val="16"/>
          <w:color w:val="auto"/>
        </w:rPr>
      </w:pPr>
    </w:p>
    <w:p>
      <w:pPr>
        <w:ind w:left="332" w:right="40" w:hanging="332"/>
        <w:spacing w:after="0" w:line="293" w:lineRule="auto"/>
        <w:tabs>
          <w:tab w:leader="none" w:pos="327"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NP technology inherently provides significant operational leverage in research and development, manufacturing and commercialization. </w:t>
      </w:r>
      <w:r>
        <w:rPr>
          <w:rFonts w:ascii="Arial" w:cs="Arial" w:eastAsia="Arial" w:hAnsi="Arial"/>
          <w:sz w:val="16"/>
          <w:szCs w:val="16"/>
          <w:color w:val="auto"/>
        </w:rPr>
        <w:t>NPs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efficient to design, develop and manufacture. We believe we will be able to rapidly increase and deploy our understanding of NP design to develop new products with our software and data analytics capabilities. In the NP manufacturing process, we use well-characterized inputs and methods, which require relatively modest capital equipment and space investments. Since our core technology resides in the NP consumables, not the instrument, new products will often involve commercializing new NP assays and software that can be run on the existing instrumentation. This capital-efficient and labor-efficient model has the potential to provide significant operating leverage to our organization.</w:t>
      </w:r>
    </w:p>
    <w:p>
      <w:pPr>
        <w:spacing w:after="0" w:line="110" w:lineRule="exact"/>
        <w:rPr>
          <w:rFonts w:ascii="Arial" w:cs="Arial" w:eastAsia="Arial" w:hAnsi="Arial"/>
          <w:sz w:val="16"/>
          <w:szCs w:val="16"/>
          <w:color w:val="auto"/>
        </w:rPr>
      </w:pPr>
    </w:p>
    <w:p>
      <w:pPr>
        <w:ind w:left="332" w:right="160" w:hanging="332"/>
        <w:spacing w:after="0" w:line="291" w:lineRule="auto"/>
        <w:tabs>
          <w:tab w:leader="none" w:pos="327"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Proteograph Product Suite has the potential to provide sustainable differentiation. </w:t>
      </w:r>
      <w:r>
        <w:rPr>
          <w:rFonts w:ascii="Arial" w:cs="Arial" w:eastAsia="Arial" w:hAnsi="Arial"/>
          <w:sz w:val="16"/>
          <w:szCs w:val="16"/>
          <w:color w:val="auto"/>
        </w:rPr>
        <w:t>Our Proteograph is uniquely capable of generating robust,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reproducible, deep and unbiased proteomic data, and as more of this data gets created over our time and used by more customers to generate insights, we expect to create a virtuous cycle that will fuel further adoption of our Proteograph Product Suite throughout the industry. Our Proteograph workflow was designed to fully integrate with customer workflows and provide a unique user experience, supported by our software packages, to create a sustainable solution within our customers’ organizations. Our SP100 automation instrument, software, and NP technology are covered by numerous issued patents and pending patent applications, worldwide, covering improvements in NPs, assay methods and ways to leverage proteomic data and information for life sciences research and clinical diagnostic and drug discovery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32"/>
          </w:cols>
          <w:pgMar w:left="328" w:top="1440" w:right="339" w:bottom="1440" w:gutter="0" w:footer="0" w:header="0"/>
        </w:sectPr>
      </w:pPr>
    </w:p>
    <w:bookmarkStart w:id="23" w:name="page24"/>
    <w:bookmarkEnd w:id="2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aim to enable exceptional scientific outcomes by commercializing transformative products for researchers to unlock deep, unbiased biological information. Our growth strategy is to:</w:t>
      </w:r>
    </w:p>
    <w:p>
      <w:pPr>
        <w:spacing w:after="0" w:line="116" w:lineRule="exact"/>
        <w:rPr>
          <w:sz w:val="20"/>
          <w:szCs w:val="20"/>
          <w:color w:val="auto"/>
        </w:rPr>
      </w:pPr>
    </w:p>
    <w:p>
      <w:pPr>
        <w:ind w:left="340" w:right="20" w:hanging="332"/>
        <w:spacing w:after="0" w:line="254"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adoption of our Proteograph Product Suite to enable researchers to create large-scale unbiased proteomic datasets that generate transformative scientific insights. </w:t>
      </w:r>
      <w:r>
        <w:rPr>
          <w:rFonts w:ascii="Arial" w:cs="Arial" w:eastAsia="Arial" w:hAnsi="Arial"/>
          <w:sz w:val="18"/>
          <w:szCs w:val="18"/>
          <w:color w:val="auto"/>
        </w:rPr>
        <w:t>Our initial product, the Proteograph Product Suite, uniquely enables researchers and clinicians to generate unbiased,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deep proteomic information at speed and scale which are not possible today. The utility and potential applications of these capabilities are broad, spanning across basic research and discovery, translational research, diagnostics and applied applications. We believe our first Proteograph assay is particularly well suited to address the core needs of researchers focused on basic and translational research and diagnostics. We intend to drive adoption of our Proteograph Product Suite through a three phase commercial launch plan that includes an initial collaboration phase with key opinion leaders, then an early access limited release phase in 2021 to initiate and build momentum of customer references, and finally broad commercial availability in early 2022.</w:t>
      </w:r>
    </w:p>
    <w:p>
      <w:pPr>
        <w:spacing w:after="0" w:line="137" w:lineRule="exact"/>
        <w:rPr>
          <w:rFonts w:ascii="Arial" w:cs="Arial" w:eastAsia="Arial" w:hAnsi="Arial"/>
          <w:sz w:val="18"/>
          <w:szCs w:val="18"/>
          <w:color w:val="auto"/>
        </w:rPr>
      </w:pPr>
    </w:p>
    <w:p>
      <w:pPr>
        <w:ind w:left="340" w:right="20" w:hanging="332"/>
        <w:spacing w:after="0" w:line="254"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market development activities to increase awareness of the importance of large-scale proteomic data and the ability to access it</w:t>
      </w:r>
      <w:r>
        <w:rPr>
          <w:rFonts w:ascii="Arial" w:cs="Arial" w:eastAsia="Arial" w:hAnsi="Arial"/>
          <w:sz w:val="18"/>
          <w:szCs w:val="18"/>
          <w:color w:val="auto"/>
        </w:rPr>
        <w:t>. In order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 and accelerate demand for our products, particularly as new applications are created and adopted by customers, we plan to invest in market development activities to educate prospective customers, funding bodies, commercial entities, government-sponsored -omics programs, and other stakeholders of the importance and value of large-scale unbiased and deep proteomic data. These activities will likely include collaborations with key opinion leaders, generation of peer-reviewed publications, sponsorship of targeted projects, joint publications and seminars, and industry partnerships. These activities aim to establish the value of large-scale unbiased and deep proteomic data, and demonstrate the unique capabilities offered by our products.</w:t>
      </w:r>
    </w:p>
    <w:p>
      <w:pPr>
        <w:spacing w:after="0" w:line="140" w:lineRule="exact"/>
        <w:rPr>
          <w:rFonts w:ascii="Arial" w:cs="Arial" w:eastAsia="Arial" w:hAnsi="Arial"/>
          <w:sz w:val="18"/>
          <w:szCs w:val="18"/>
          <w:color w:val="auto"/>
        </w:rPr>
      </w:pPr>
    </w:p>
    <w:p>
      <w:pPr>
        <w:ind w:left="340" w:hanging="332"/>
        <w:spacing w:after="0" w:line="255"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Continually innovate to develop and commercialize additional transformative products to access the proteome and accelerate our understanding of biology</w:t>
      </w:r>
      <w:r>
        <w:rPr>
          <w:rFonts w:ascii="Arial" w:cs="Arial" w:eastAsia="Arial" w:hAnsi="Arial"/>
          <w:sz w:val="18"/>
          <w:szCs w:val="18"/>
          <w:color w:val="auto"/>
        </w:rPr>
        <w:t>. We aim to continually innovate and develop new products, applications, workflows and analysis tools that simplify and accelerate researchers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clinicians’ ability to generate proteomic data and to connect proteomic data to genomic and transcriptomic data that drive novel biological insights. As leaders in NGS have demonstrated, our sustainable advantage will come from continual development and commercialization of new products and applications based on our technology, and we will drive innovation through both internal R&amp;D projects and from collaborations with customers and partners.</w:t>
      </w:r>
    </w:p>
    <w:p>
      <w:pPr>
        <w:spacing w:after="0" w:line="138" w:lineRule="exact"/>
        <w:rPr>
          <w:rFonts w:ascii="Arial" w:cs="Arial" w:eastAsia="Arial" w:hAnsi="Arial"/>
          <w:sz w:val="18"/>
          <w:szCs w:val="18"/>
          <w:color w:val="auto"/>
        </w:rPr>
      </w:pPr>
    </w:p>
    <w:p>
      <w:pPr>
        <w:ind w:left="340" w:right="120" w:hanging="332"/>
        <w:spacing w:after="0" w:line="296" w:lineRule="auto"/>
        <w:tabs>
          <w:tab w:leader="none" w:pos="335"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Rapidly build our commercial infrastructure and NP manufacturing capabilities to provide for our commercial launch in the United States and internationally. </w:t>
      </w:r>
      <w:r>
        <w:rPr>
          <w:rFonts w:ascii="Arial" w:cs="Arial" w:eastAsia="Arial" w:hAnsi="Arial"/>
          <w:sz w:val="16"/>
          <w:szCs w:val="16"/>
          <w:color w:val="auto"/>
        </w:rPr>
        <w:t>We are initially building our commercial infrastructure to sell and support our products directly in the United States, the European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Union and United Kingdom. We expect to expand access to our products in other geographies, starting with select countries in Asia Pacific through distributors, and eventually to the rest of the world. We are also scaling our NP manufacturing capabilities in our facility in Redwood City, California, and will continually evaluate and optimize our manufacturing and supply chain footprint to meet our business objectives.</w:t>
      </w:r>
    </w:p>
    <w:p>
      <w:pPr>
        <w:spacing w:after="0" w:line="107" w:lineRule="exact"/>
        <w:rPr>
          <w:rFonts w:ascii="Arial" w:cs="Arial" w:eastAsia="Arial" w:hAnsi="Arial"/>
          <w:sz w:val="16"/>
          <w:szCs w:val="16"/>
          <w:color w:val="auto"/>
        </w:rPr>
      </w:pPr>
    </w:p>
    <w:p>
      <w:pPr>
        <w:ind w:left="340" w:right="40" w:hanging="332"/>
        <w:spacing w:after="0" w:line="291" w:lineRule="auto"/>
        <w:tabs>
          <w:tab w:leader="none" w:pos="335"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Foster the creation of an ecosystem of customers, partners and collaborators whose expertise and offerings complement and enhance the power and utility of our products. </w:t>
      </w:r>
      <w:r>
        <w:rPr>
          <w:rFonts w:ascii="Arial" w:cs="Arial" w:eastAsia="Arial" w:hAnsi="Arial"/>
          <w:sz w:val="16"/>
          <w:szCs w:val="16"/>
          <w:color w:val="auto"/>
        </w:rPr>
        <w:t>We intend to seed and develop a new ecosystem of applications and organizations that can take advantage of large-scale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proteomic analysis. This ecosystem can include areas such as disease detection, large-scale population studies, agriculture, environmental monitoring and food safety. Much as we have seen large-scale genomic analysis spur new innovations in non-invasive prenatal testing, early cancer detection and recurrence monitoring, we believe large-scale proteomics will enhance these markets and spur the development of new markets and applications. To help seed the growth of this ecosystem, we spun-out a new company called PrognomIQ, which plans to develop and commercialize diagnostic tests for early disease detection, leveraging our Proteograph Product Suite in combination with other -omics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44" w:lineRule="exact"/>
        <w:rPr>
          <w:sz w:val="20"/>
          <w:szCs w:val="20"/>
          <w:color w:val="auto"/>
        </w:rPr>
      </w:pPr>
    </w:p>
    <w:p>
      <w:pPr>
        <w:ind w:left="340" w:hanging="332"/>
        <w:spacing w:after="0" w:line="273" w:lineRule="auto"/>
        <w:tabs>
          <w:tab w:leader="none" w:pos="335"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proprietary engineered NP technology to analyze molecules beyond proteins. </w:t>
      </w:r>
      <w:r>
        <w:rPr>
          <w:rFonts w:ascii="Arial" w:cs="Arial" w:eastAsia="Arial" w:hAnsi="Arial"/>
          <w:sz w:val="17"/>
          <w:szCs w:val="17"/>
          <w:color w:val="auto"/>
        </w:rPr>
        <w:t>Given the inherent flexibility and ability to synthesize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myriad NPs, we intend to seek over the long-term to expand the scope of our propriety engineered NP technology to analyze other biomolecules such nucleic acids, metabolites and small molecules among others. As we continue to work closely with our initial and future customers, we will better understand their needs and requirements, which will inform our product development pathway and development of our library of NPs and our software capabilities to address other -omics applications. We believe our management’s knowledge and experience in both the proteomics and genomics markets will position us to take advantage of such new expansion opportunities as they arise.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Applications of our Proteograph Product Suite</w:t>
      </w:r>
    </w:p>
    <w:p>
      <w:pPr>
        <w:spacing w:after="0" w:line="17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We believe the ability to generate unbiased, deep proteomic data at scale, with rich content at the protein variant level will have broad applications in proteomics, encompassing basic research and discovery, translational research, diagnostics and applied markets. We believe this data will be used in many of the same application areas as are used with genomics data, proteomics applications that are uniquely possible with unbiased proteomic data, and in new applications that the field will develop in the future.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Basic Research and Discovery Applications</w:t>
      </w:r>
    </w:p>
    <w:p>
      <w:pPr>
        <w:spacing w:after="0" w:line="171" w:lineRule="exact"/>
        <w:rPr>
          <w:sz w:val="20"/>
          <w:szCs w:val="20"/>
          <w:color w:val="auto"/>
        </w:rPr>
      </w:pPr>
    </w:p>
    <w:p>
      <w:pPr>
        <w:jc w:val="both"/>
        <w:ind w:right="140" w:firstLine="324"/>
        <w:spacing w:after="0" w:line="301" w:lineRule="auto"/>
        <w:rPr>
          <w:sz w:val="20"/>
          <w:szCs w:val="20"/>
          <w:color w:val="auto"/>
        </w:rPr>
      </w:pPr>
      <w:r>
        <w:rPr>
          <w:rFonts w:ascii="Arial" w:cs="Arial" w:eastAsia="Arial" w:hAnsi="Arial"/>
          <w:sz w:val="16"/>
          <w:szCs w:val="16"/>
          <w:color w:val="auto"/>
        </w:rPr>
        <w:t>We believe that researchers will use our Proteograph solution for a variety of basic research and discovery applications, including cataloging protein diversity, proteogenomics and exploring the interactome. While researchers are pursing these applications today, the studies are either limited in scale due to the complex workflows of current unbiased methods or the limited set of ASRs that are available for biased methods. Our Proteograph Product Suite is designed to enable the use of unbiased proteomic data at scale, which we believe will greatly accelerate these areas of basic research and discovery.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Cataloging protein diversity</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Proteograph Product Suite is designed to enable researchers to broadly explore the complexity and diversity of the proteome at the peptide and amino acid levels and discover many distinct protein variants. This is analogous to how NGS enabled genomic researchers to change their experimental focus from exploring genes to exploring exons and nucleotides, revealing approximately 695 million genetic variants to date. We expect that researchers will use our Proteograph solution to catalog these protein variants much like the cataloging of genetic variants that occurred over the past fifteen years, and this will uniquely provide functional context at a scale that is not accessible today with other proteomics methods. We believe the utility of these protein variants has the potential to impact a broad spectrum of the life sciences field.</w:t>
      </w:r>
    </w:p>
    <w:p>
      <w:pPr>
        <w:spacing w:after="0" w:line="12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 xml:space="preserve">The figure below shows the type of protein cataloging possible with our Proteograph Product Suite. Interrogating the protein data from our previously published work in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(Blume et al.), we illustrate below that our Proteograph solution can identify a range of peptides for the proteins in plasma samples from lung cancer patients and healthy controls, which is not feasible or practical using a biased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440" w:right="35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2488565</wp:posOffset>
            </wp:positionH>
            <wp:positionV relativeFrom="page">
              <wp:posOffset>1014730</wp:posOffset>
            </wp:positionV>
            <wp:extent cx="2571750" cy="25374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57175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following figure, we have analyzed the Bone Morphogenic Protein 1 (BMP1) gene, which is known to have seven variants at the RNA level from alternative splicing and four variants at the protein level. Of these four variants, two are the long form and two are the short form of the BMP1 protein. Among the peptides that our Proteograph solution detected in this study, six specific peptides came from various parts of BMP1. Interestingly, the short form of the BMP1 protein was expressed predominantly in cancer patients, whereas the long forms of the protein were seen more often among the healthy controls. According to Pubmed, this observation has not been previously reported in the literature and may merit further investigation for the potential role of different BMP1 protein variants in health and cancer. We believe that researchers will therefore use our Proteograph Product Suite to pursue large-scale proteomics studies in order to generate data that may link disease biology to protein variants produced from alternative RNA splicing, alternative transcription and from PTMs.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96520</wp:posOffset>
            </wp:positionV>
            <wp:extent cx="4714875" cy="31718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14875" cy="317182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00"/>
          </w:cols>
          <w:pgMar w:left="320" w:top="1440" w:right="479" w:bottom="1440" w:gutter="0" w:footer="0" w:header="0"/>
          <w:type w:val="continuous"/>
        </w:sectPr>
      </w:pPr>
    </w:p>
    <w:bookmarkStart w:id="26" w:name="page27"/>
    <w:bookmarkEnd w:id="26"/>
    <w:p>
      <w:pPr>
        <w:spacing w:after="0" w:line="14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cataloging protein variants, researchers can also gain valuable insights with PTMs, such as phosphorylation. These PTMs are dynamic and the resulting protein variants can be seen with different states of health and disease. The figure below shows the differences in the ratio of phosphorylated to unphosphorylated states of a specific peptide within Heparin Co-factor 2 across 14 samples taken from each group of early and late stage lung cancer patients, healthy and comorbid controls. We show that the phosphorylation state of this peptide may vary as the disease state varies. Heparin Co-factor 2 has been previously shown to play a role in cancer and is associated with over-expression in lung cancer (Liao et al.). The phosphorylation observations below may merit further investigation for their roles in lung cancer. We believe that as researchers pursue large-scale proteomics studies, the literature that links disease biology to protein variants produced from alternative RNA splicing and from PTMs will exponentially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80645</wp:posOffset>
            </wp:positionV>
            <wp:extent cx="1714500" cy="2768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Proteogenomics</w:t>
      </w:r>
    </w:p>
    <w:p>
      <w:pPr>
        <w:spacing w:after="0" w:line="171"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 xml:space="preserve">Proteogenomics is an emerging area of research, whereby personalized protein sequence databases are generated using genomic and transcriptomic information to help identify novel peptides. In turn, the proteomic data provides functional context to genomic information and refines gene expression models for transcriptomic information. Our Proteograph solution generates large-scale unbiased proteomic data, which will facilitate mapping protein variants to genomic variants, and therefore, the advancement of the emerging proteogenomics field. As an example, we performed individual exon-based sequencing on 29 patient samples from our previously published proteomics work in </w:t>
      </w:r>
      <w:r>
        <w:rPr>
          <w:rFonts w:ascii="Arial" w:cs="Arial" w:eastAsia="Arial" w:hAnsi="Arial"/>
          <w:sz w:val="16"/>
          <w:szCs w:val="16"/>
          <w:i w:val="1"/>
          <w:iCs w:val="1"/>
          <w:color w:val="auto"/>
        </w:rPr>
        <w:t>Nature Communications</w:t>
      </w:r>
      <w:r>
        <w:rPr>
          <w:rFonts w:ascii="Arial" w:cs="Arial" w:eastAsia="Arial" w:hAnsi="Arial"/>
          <w:sz w:val="16"/>
          <w:szCs w:val="16"/>
          <w:color w:val="auto"/>
        </w:rPr>
        <w:t xml:space="preserve"> (Blume et al.) to enable proteogenomic analysis on these samples and evaluate additional protein variants that could be revealed with the addition of genomic information. As shown in the left panel of the figure below, the sequencing information from these 29 samples, coupled to matching unbiased and deep analyses of the samples’ proteomic data using our Proteograph, yielded an average of approximately 70 predicted and confirmed peptide variations per sample. The right panel of the figure shows a subject who is heterozygous at the KLKB1 gene, which codes for the prekallikrein protein. This subject has both the reference allele for KLKB1 and a minor allele with a frequency of 0.01% in the population, resulting in a glycine to arginine amino acid change in the prekallikrein. Interestingly, we identified both prekallikrein variants in the plasma sample of this subject. Given the current level of access to genomic and transcriptomic information, as researchers conduct the large-scale proteomics studies that our Proteograph enables, we expect proteogenomic content to rapidly increase, providing functional information to existing genomics and gene expression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1440" w:right="45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26574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Interactome</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interactome refers to the broad set of interaction networks among molecules, such as those interactions among proteins, also referred to as protein-protein interactions, or PPIs. Protein interaction networks have been used to infer the function of proteins. Different types of interaction maps can be composed by the research community for different applications. These include physical interactions or the functional pathway implications of these interactions. PPI network maps can be constructed by pegging individual proteins as nodes and linking proteins that interact to them by a drawn line. These maps naturally cluster into hubs of proteins that fall into related pathways or have related functions.</w:t>
      </w:r>
    </w:p>
    <w:p>
      <w:pPr>
        <w:spacing w:after="0" w:line="12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We interrogated the plasma proteome of 276 subjects across early- and late-stage non-small-cell lung carcinoma (NSCLC), co-morbid and healthy controls. These subjects are a subset of those described in our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publication (Blume et al.). Using proteins detected in these samples, we analyzed potential PPI interactions using the STRING PPI database (Szklarczyk et al.). In the figure below, we show a map of healthy versus early- and late-stage NSCLC where each protein is represented as a node and colored by its relative abundance. Green represents high abundance of proteins and red represents low abundance relative to the average abundance of the proteins across the samples. Multiple nodes can group together forming hubs with related common pathways or functions. Correlated changes in the abundance of proteins in these hubs may represent functional changes between health and disease. We highlight three hubs in the figure below with turquoise circles, and show changes depending upon health and disease state. Examination of the hubs can suggest biological hypotheses for the change in quantities. For example, the proteins in the central cluster are associated with Golgi vesicle transport, which is potentially linked to NSCLC. Access to the deep unbiased proteomic information provided by our Proteograph may enable researchers to better understand biological implications of known PPIs. Furthermore, given our highly parallel sampling of the proteome across multiple NPs and many samples, we believe researchers using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Proteograph Product Suite may be able to leverage machine learning methods on the resulting large data sets to derive novel PPIs.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19888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Translational Research Applications</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Researchers can use our Proteograph solution to address translational research applications, which aim to shorten the cycle time from early discovery research to clinical application. Our Proteograph Product Suite allows clinical and translational researchers to conduct unbiased, deep and large-scale proteomics studies in therapeutic and diagnostic research and clinical trials, which can allow for significant advances in biomarker discovery, target identification and exploration, and clinical trial applications.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Biomarker discovery</w:t>
      </w:r>
    </w:p>
    <w:p>
      <w:pPr>
        <w:spacing w:after="0" w:line="171"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 xml:space="preserve">To date, most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biomarker discovery research is limited by the size of studies that can be done in an unbiased way, or limited to targeted studies that leverage existing knowledge. These approaches have yet to uncover the vast number of putative biomarkers that may be available as single markers or as combinations of markers for a range of clinical applications. We believe our Proteograph can greatly enable the discovery of biomarkers through large-scale, unbiased and deep proteomics studies.</w:t>
      </w:r>
    </w:p>
    <w:p>
      <w:pPr>
        <w:spacing w:after="0" w:line="13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The utility of our Proteograph Product Suite for exploration of potential biomarkers is illustrated in a proof-of-principle study in lung-cancer, as published in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(Blume et al.). In this study, approximately 2,000 proteins were quantified across 141 subjects comprising early stage lung cancer (i.e., Stages 1, 2 or 3) and age- and gender-matched non-cancer controls. Machine-learning-based classifiers were developed. Plotting the sensitivity and specificity levels of our classifiers in a receiver operating characteristic (ROC) curve, we achieved a mean Area Under the Curve (AUC) of 0.91 on a scale from 1.0 (i.e., perfect) to 0.5 (i.e., random), as shown in the left panel of the figure below. In the right panel of the figure below, we show the most important classifiers in the study, with accompanying OpenTargets scores, where a score of one represents a validated target for a drug that is on-market, and a score of zero represents a target with no known target validation data in the literature. In our study, our Proteograph identified proteins with high OpenTargets scores such as tubulin 1-alpha and syndecin 1; the former is the molecular target for paclitaxel used in first-line therapy for NSCLC, and the latter is a molecular target for an antibody-drug conjugate, indatuximab ravtansine, currently in clinical trials for different cancer types. Our Proteograph identified proteins with low OpenTargets scores, and these could represent novel biomarker candidates for therapeutics and diagnostics development. A study of this size can be completed using our Proteograph in a fraction of the time of conventional methods, thus highlighting the efficiency of our Proteograph Product Suite in biomarker discovery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320" w:top="1440" w:right="39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2314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Target Identification and Exploration</w:t>
      </w:r>
    </w:p>
    <w:p>
      <w:pPr>
        <w:spacing w:after="0" w:line="17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Currently FDA-approved drugs are directed to 754 separate human proteins that are directly related to the mechanism of action for the drug, and there are 4,009 genes in the UniProt database that have experimental evidence for being involved in disease. We believe that large-scale access to protein variant information that map to different states of health and disease, as enabled by our Proteograph solution and concurrent advances in proteogenomics, has the potential to lead to the discovery of personalized drug targets that could reach the hundred thousand range. We believe that the translational application of our Proteograph for potential biomarker development, as exemplified above in our NSCLC study, may also be applied to the identification of novel targets for therapeutic development. Components of classifiers may directly be targets themselves for drug development, or they may highlight new knowledge with respect to disease mechanism which then could help in the exploration of additional targets and/or help to elucidate the function of potential targets, particularly if these targets are discovered with genomics approaches, and lack protein functional context.</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Clinical Trial Applications</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Clinical researchers can use our Proteograph Product Suite for deep and broad proteomic profiling for subjects in therapeutic clinical trials, including to make observations on efficacy and adverse events. Applications could include the real-time monitoring of protein-related drug effects, distribution, and metabolism. Virtually all clinical trials in drug development include monitoring of this type, but currently use biased or targeted panels of proteins. It is currently impractical to do this type of monitoring with unbiased proteomic methods given the inability of these methods to scale to the hundreds or thousands of samples that are evaluated in clinical trials.</w:t>
      </w:r>
    </w:p>
    <w:p>
      <w:pPr>
        <w:spacing w:after="0" w:line="13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Proteograph Product Suite may also be used to select and group patients in clinical studies based on their proteomics profiles. As our understanding of the complexity of biology increases with new data accrued from our Proteograph as well as in adjacent -omics spaces, our ability to refine patient selection at a higher resolution may improve the ability to confirm efficacy for novel therapies, particularly in complex diseases that involve many inter-related physiological systems. Genomic approaches are widely used to select patients in cancer and rare genetic disease clinical trials, but the use of genomics-based selection for clinical trials outside of these indications has not been as widely used, given the relative lack of genetic understanding of these diseases. We believe that our Proteograph has the potential to generate useful proteomic signatures that can complement genomic and other patient selection criteria to improve how clinical researchers select and segment patients for these trials, particularly for indications outside of cancer and rare genetic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1440" w:right="379" w:bottom="1440" w:gutter="0" w:footer="0" w:header="0"/>
        </w:sectPr>
      </w:pPr>
    </w:p>
    <w:bookmarkStart w:id="30" w:name="page31"/>
    <w:bookmarkEnd w:id="3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Diagnostic Applications</w:t>
      </w:r>
    </w:p>
    <w:p>
      <w:pPr>
        <w:spacing w:after="0" w:line="17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see significant opportunities for researchers to use our Proteograph Product Suite for diagnostic development. Similar to the way in which NGS enabled the development of ecosystems that included genomics-based diagnostics in disease areas such as cancer and rare genetic diseases, we see the unbiased, deep and scalable proteomic information provided by our Proteograph solution potentially creating ecosystems, including proteomics and multi-omics based diagnostics in cancer and other complex disease areas. To help accelerate the future growth of this end-market, we spun-out a new company, PrognomIQ, that will leverage our Proteograph Product Suite to develop multi-omics tests for health and disease. We expect that PrognomIQ will be our customer. We expect that our Proteograph solution will be used by other companies in the healthcare testing space, and we will support all of these customers as the ecosystem grows. We plan to enable our customers by providing our Proteograph Product Suite for their basic research and translational research applications, as they develop their own diagnostic applications.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Applied Applications in Agriculture, Environmental and Food Safety</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Outside of the areas related to human health, we believe there are opportunities for our Proteograph solution to be applied in other applied applications, including those applications where broad scale genomics is being widely applied today, and other applications where proteomics can uniquely enable the creation of end-markets. We believe that unbiased, deep and large-scale proteomic information as enabled by our Proteograph can complement and extend the value of genomics, transcriptomics, and metabolomics information in fields such as agriculture, environmental monitoring and food safety. This is exemplified in a recent plant proteomics study that identified PPIs and multi-protein complexes that likely play a role in important agronomic traits.</w:t>
      </w:r>
    </w:p>
    <w:p>
      <w:pPr>
        <w:spacing w:after="0" w:line="107"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Pathogen monitoring is a core research area in environmental sciences. Genomics-based approaches have been applied for environmental monitoring, and we believe that unbiased proteomic data can be used to complement genomic information in monitoring environmental pathogens.</w:t>
      </w:r>
    </w:p>
    <w:p>
      <w:pPr>
        <w:spacing w:after="0" w:line="92" w:lineRule="exact"/>
        <w:rPr>
          <w:sz w:val="20"/>
          <w:szCs w:val="20"/>
          <w:color w:val="auto"/>
        </w:rPr>
      </w:pPr>
    </w:p>
    <w:p>
      <w:pPr>
        <w:jc w:val="both"/>
        <w:ind w:right="260" w:firstLine="324"/>
        <w:spacing w:after="0" w:line="286" w:lineRule="auto"/>
        <w:rPr>
          <w:sz w:val="20"/>
          <w:szCs w:val="20"/>
          <w:color w:val="auto"/>
        </w:rPr>
      </w:pPr>
      <w:r>
        <w:rPr>
          <w:rFonts w:ascii="Arial" w:cs="Arial" w:eastAsia="Arial" w:hAnsi="Arial"/>
          <w:sz w:val="17"/>
          <w:szCs w:val="17"/>
          <w:color w:val="auto"/>
        </w:rPr>
        <w:t>The food industry has complex supply chains where food can be subject to contamination and spoilage in the food product itself as one moves from raw material to processing to distribution, storage and consumption of the food product. We believe that unbiased proteomic data from our Proteograph Product Suite could complement existing biochemical approaches for tracking signals of contamination and food spoilage.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PrognomIQ</w:t>
      </w:r>
    </w:p>
    <w:p>
      <w:pPr>
        <w:spacing w:after="0" w:line="17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In August 2020, we transferred certain assets related to disease testing to PrognomIQ, a wholly-owned subsidiary of the Company, in exchange for all of its outstanding equity interests. Following the transfer, we completed a pro-rata distribution to our stockholders of most of the shares of capital stock of PrognomIQ. Following the distribution and a subsequent $55.0 million financing of PrognomIQ, we hold approximately 19% of the outstanding equity in PrognomIQ.</w:t>
      </w:r>
    </w:p>
    <w:p>
      <w:pPr>
        <w:spacing w:after="0" w:line="133"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our Proteograph Product Suite to any customer in any geography, nor does it preclude our customers from using our Proteograph in any way. PrognomIQ has indicated that it plans to combine the protein data from our Proteograph with genomics and other -omics data, to create a multi-omics approach to health and disease testing, which we believe will help us drive the adoption of our Proteograph Product Suite in these applications.</w:t>
      </w:r>
    </w:p>
    <w:p>
      <w:pPr>
        <w:spacing w:after="0" w:line="112"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Omid Farokhzad, Chief Executive Officer and Chair of our board of directors, serves as the Chair of PrognomIQ’s board of directors. Philip Ma, Ph.D. our former Chief Business Officer serves as the Chief Executive Officer of PrognomIQ. While Dr. Ma has fully transitioned to PrognomIQ, he will remain our consultant until April 2021. In addition, three of our other employees have also transitioned to PrognomIQ. We will be providing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440" w:right="359" w:bottom="1440" w:gutter="0" w:footer="0" w:header="0"/>
        </w:sectPr>
      </w:pPr>
    </w:p>
    <w:bookmarkStart w:id="31" w:name="page32"/>
    <w:bookmarkEnd w:id="31"/>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transition services and support, including laboratory and office space to PrognomIQ during the transition period. We anticipate these services to continue through the first half of 2021.</w:t>
      </w:r>
    </w:p>
    <w:p>
      <w:pPr>
        <w:spacing w:after="0" w:line="11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 xml:space="preserve">We granted PrognomIQ a non-exclusive license to certain patents and patent applications that we own and a non-exclusive sublicense to certain patent applications we exclusively licensed from The Brigham and Women’s Hospital, Inc.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For further discussion of our license and sublicense arrangement with PrognomIQ, see the section titled “Business — Collaboration and License Agreements — </w:t>
      </w:r>
      <w:r>
        <w:rPr>
          <w:rFonts w:ascii="Arial" w:cs="Arial" w:eastAsia="Arial" w:hAnsi="Arial"/>
          <w:sz w:val="17"/>
          <w:szCs w:val="17"/>
          <w:i w:val="1"/>
          <w:iCs w:val="1"/>
          <w:color w:val="auto"/>
        </w:rPr>
        <w:t>PrognomIQ</w:t>
      </w:r>
      <w:r>
        <w:rPr>
          <w:rFonts w:ascii="Arial" w:cs="Arial" w:eastAsia="Arial" w:hAnsi="Arial"/>
          <w:sz w:val="17"/>
          <w:szCs w:val="17"/>
          <w:color w:val="auto"/>
        </w:rPr>
        <w:t>.” We do not view these amounts to be material to our financial condition and results of operations nor do we expect these amounts to ever be material to us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Strategy</w:t>
      </w:r>
    </w:p>
    <w:p>
      <w:pPr>
        <w:spacing w:after="0" w:line="171"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Our Proteograph Product Suite is an integrated solution comprising consumables, an automation instrument and software. We have developed our Proteograph solution to simplify and accelerate proteomics workflow, reduce labor and capital requirements, and deliver robust and reproducible performance. We will focus on growing the installed base of our Proteograph across a wide variety of customer types and driving applications, scale of experimentation and discoveries that lead to increasing utilization of our Proteograph Product Suite by our customers.</w:t>
      </w:r>
    </w:p>
    <w:p>
      <w:pPr>
        <w:spacing w:after="0" w:line="103"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intend to initially target potential customers who value unbiased and deep proteomic information and are performing proteomic or genomic analysis at academic institutions, translational research groups and biopharmaceutical companies. Our direct sales and marketing efforts will be focused on the principal investigators, researchers, department heads, research laboratory directors and core facility directors who control the buying decision. We expect these customers to purchase our SP100 automation instruments and associated consumables in line with typical purchases of other life science instrumentation and consumables. We intend to price our Proteograph Product Suite within the authorization range of most researchers who can directly make the buying decision, without the need for additional levels of approval, simplifying our sales process. For example, we intend to price our SP100 automation instrument on a comparable basis to other similar automated fluid handling systems currently available. We anticipate pricing our Proteograph consumables, on a per sample basis, in a range similar to that of other life sciences consumables that provide deep and unbiased -omic information.</w:t>
      </w:r>
    </w:p>
    <w:p>
      <w:pPr>
        <w:spacing w:after="0" w:line="11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believe broad accessibility of MS instruments simplifies the adoption of our Proteograph Product Suite. We estimate that there are approximately 16,000 MS instruments with configurations typically used to perform proteomic analysis installed worldwide. We expect that many of our potential customers will have their own MS instrument, and for those who do not, will be able to outsource the MS portion of the Proteograph workflow to a third-party service provider.</w:t>
      </w:r>
    </w:p>
    <w:p>
      <w:pPr>
        <w:spacing w:after="0" w:line="13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generation of publications and scientific presentations is a core pillar of our market awareness strategy and is important for establishing validity and utility of new products in the life sciences community. We plan to work closely with our customers, including key opinion leaders, to generate clear use-cases, as well as peer-reviewed publications that illustrate our product performance claims and value proposition. In addition, we plan to drive awareness by developing and deploying online and in-person training and educational tools that explain our technology and key applications in easy-to-access, easy-to-understand, and scientifically rigorous and credible ways. We also expect to partner with select service facilities and core labs globally and certify them as Centers of Excellence for our Proteograph solution. We expect these sites will become our customers and potentially provide fee-for service capabilities that allow interested parties to evaluate our Proteograph Product Suite using their own samples. We expect that these Centers of Excellence will actively promote our Proteograph solution and its capabilities and help us further raise awareness.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440" w:right="359" w:bottom="1440" w:gutter="0" w:footer="0" w:header="0"/>
        </w:sectPr>
      </w:pPr>
    </w:p>
    <w:bookmarkStart w:id="32" w:name="page33"/>
    <w:bookmarkEnd w:id="32"/>
    <w:p>
      <w:pPr>
        <w:spacing w:after="0" w:line="14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To service our potential Proteograph customers, we will provide multiple levels of technical service for our SP100 automation instruments, depending upon customer need. We recognize that excellent customer support can be a critical part of a customer experience, and we will invest accordingly in our technical and application support to achieve the desired levels of service.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Proteograph Product Suite Commercial Launch Plan</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intend to follow a three phase launch plan to commercialize our Proteograph Product Suite. This approach has been successfully used to introduce transformative technologies in numerous life science sectors over many years, including in genomics with the roll-out of NGS products. We believe that this phased approach allows us to introduce the product in a measured way, demonstrate clear customer use-cases, help to ensure we are scaling and expanding in a way that delivers a positive and differentiated customer experience, and builds a prospective customer pipeline to provide visibility to future demand.</w:t>
      </w:r>
    </w:p>
    <w:p>
      <w:pPr>
        <w:spacing w:after="0" w:line="134" w:lineRule="exact"/>
        <w:rPr>
          <w:sz w:val="20"/>
          <w:szCs w:val="20"/>
          <w:color w:val="auto"/>
        </w:rPr>
      </w:pPr>
    </w:p>
    <w:p>
      <w:pPr>
        <w:ind w:left="660" w:right="60" w:hanging="328"/>
        <w:spacing w:after="0" w:line="25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Collaboration phase: We began collaborating with two sites in the third quarter of 2020 and we expect to collaborate with additional sites as we expand and continue this phase in 2021. Our first Proteograph was delivered to one of our first collaborators in October 2020, a second Proteograph to another collaborator in December 2020 and a third Proteograph to a third collaborator in March 2021. We plan to complement these initial collaborators with an additional collaborator in the genomics or multi-omics fields. We are targeting key opinion leaders who are highly-skilled at evaluating novel technologies and whose feedback can help us solidify our commercialization plans and processes. We will work with these collaborators to establish early models of impactful research and discovery that will highlight the unique capabilities and value proposition of our Proteograph. During this phase, we plan to provide our SP100 automation instrument for a minimal fee and also provide consumables at a reduced price. The sites will be given the option to purchase the SP100 automation instrument at a reduced price following the completion of the collaboration phase.</w:t>
      </w:r>
    </w:p>
    <w:p>
      <w:pPr>
        <w:spacing w:after="0" w:line="142" w:lineRule="exact"/>
        <w:rPr>
          <w:rFonts w:ascii="Arial" w:cs="Arial" w:eastAsia="Arial" w:hAnsi="Arial"/>
          <w:sz w:val="18"/>
          <w:szCs w:val="18"/>
          <w:color w:val="auto"/>
        </w:rPr>
      </w:pPr>
    </w:p>
    <w:p>
      <w:pPr>
        <w:ind w:left="660" w:right="80" w:hanging="328"/>
        <w:spacing w:after="0" w:line="290"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Early access limited release: We are entering the second phase of our commercial roll-out in 2021 in parallel with winding down the collaboration phase. In this second phase, we will expand to six to ten additional potential customers across our target segments, including key opinion leaders in proteomics as well those in genomics. We will primarily target customers who can scale quickly and demonstrate the power and utility of our Proteograph solution across a number of applications, such as discovery research, oncology, complex diseases, and proteogenomics. We believe these customers will become important reference sites and key influencers whose adoption of the technologies gives others a clear blueprint to follow. During this phase, we expect to broaden our commercial footprint to access and support an increasing number of customers and to set the foundation for the final phase of our commercial roll out. We plan to offer our Proteograph Product Suite to customers in the early access limited release phase at our proposed list price, with certain volume discounts for consumables consistent with industry standards.</w:t>
      </w:r>
    </w:p>
    <w:p>
      <w:pPr>
        <w:spacing w:after="0" w:line="111" w:lineRule="exact"/>
        <w:rPr>
          <w:rFonts w:ascii="Arial" w:cs="Arial" w:eastAsia="Arial" w:hAnsi="Arial"/>
          <w:sz w:val="16"/>
          <w:szCs w:val="16"/>
          <w:color w:val="auto"/>
        </w:rPr>
      </w:pPr>
    </w:p>
    <w:p>
      <w:pPr>
        <w:ind w:left="660" w:right="2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Broad commercial availability: We intend to build on the momentum we expect to have created through both the collaboration and early access limited release phases of our roll-out to provide for broad commercial availability in early 2022.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Organization</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are in the process of building out our commercial organization and we expect to have direct commercial staff in marketing, sales, customer success, and technical support functions. We will scale each function within our commercial organization in anticipation of demand and with the intent to deliver exceptional customer experience. We believe that coupling exceptional customer experience with a transformative product will allow us to deliver substantial value to our customers, build long-term customer loyalty, enhance our competitive differentiation, and, importantly, use our customer relationships to gain insights that inform our product development to grow our offerings in ways that will benefit our customers.</w:t>
      </w:r>
    </w:p>
    <w:p>
      <w:pPr>
        <w:spacing w:after="0" w:line="122"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We expect to initially target customers in North America, the European Union and United Kingdom through direct sales and customer support organizations. We expect to grow into other geographies over time, initially through distributors, starting with key countries in Asia Pacific. We expect a highly efficient sales model since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4"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Proteograph Product Suite does not have a large capital expenditure component, can leverage the existing installed base of MS instruments and complements large-scale genomics data ecosystems.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Manufacturing</w:t>
      </w:r>
    </w:p>
    <w:p>
      <w:pPr>
        <w:spacing w:after="0" w:line="17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Our overall manufacturing strategy is to continuously develop and refine our processes to achieve our objectives of continuity of supply, quality of supply and margin enhancement. Over time, this may lead to in-sourcing or outsourcing certain functions, including manufacturing, in various geographic locations in order to achieve our objectives.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Consumables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pilot line and building out our manufacturing capabilities as we ramp towards broad commercial availability. We obtain some of the reagents and components used in our Proteograph workflow from third-party suppliers. While some of these reagents and components are sourced from a single supplier, these products are readily available from numerous suppliers. While we currently plan to handle filling and packaging of our Proteograph assay and the related consumables, in the future, we may have our filling and packaging outsourced to a third-party. We conduct vendor and component qualification for components provided by third-party suppliers and quality control tests on our NPs.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Automation Instrument</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designed our SP100 automation instrument and have outsourced the manufacturing of our SP100 automation instrument to Hamilton Company, a leading manufacturer of automated liquid handling workstations. We have entered into a non-exclusive agreement with Hamilton that covers the manufacturing of our SP100 automation instrument and its continued supply on a purchase order basis. The agreement has an initial term that runs three years following our commercial launch. We have the option to extend the term of the agreement with Hamilton upon written notice at the end of the initial term; provided that prices are only fixed during the initial term of the agreement. Hamilton has represented to us that it maintains ISO 9001 and ISO 13485 certification.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life sciences technology industry is characterized by rapidly advancing technologies, intense competition and a strong emphasis on intellectual property. Today the proteomics market is served by companies that offer a variety of analytical instruments, such as chromatography and MS instruments, and associated reagents. We believe that competitors in the proteomics market are differentiated by their proprietary technologies, rapid product development capabilities, applications and intellectual property. We believe that there are currently no commercially available products that offer the capability to conduct unbiased, deep proteomics studies at the same scale and throughput as our Proteograph Product Suite. Given the potential market opportunity and scientific promise of proteomics, we expect the intensity of the competition to increase and, as a result, one or more competing products emerging in the future. Competing products may emerge from various sources, including life sciences tools, diagnostics, pharmaceutical and biotechnology companies, third-party service providers, academic research institutions, governmental agencies and public and private research institutions.</w:t>
      </w:r>
    </w:p>
    <w:p>
      <w:pPr>
        <w:spacing w:after="0" w:line="11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Current companies that provide proteomics products include Agilent Technologies, Bio-Rad Laboratories, Danaher, Luminex, Merck (and its subsidiary MilliporeSigma) and Thermo Fisher Scientific. There are also a number of companies that provide proteomic analysis services. In addition, a number of emerging growth companies have developed, or are developing, proteomics products, services and solutions, such as Nautilus Biotechnology, Olink Proteomics, Quanterix and SomaLogic.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1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11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4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2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320" w:top="1440" w:right="399" w:bottom="1440" w:gutter="0" w:footer="0" w:header="0"/>
        </w:sectPr>
      </w:pPr>
    </w:p>
    <w:bookmarkStart w:id="35" w:name="page36"/>
    <w:bookmarkEnd w:id="35"/>
    <w:p>
      <w:pPr>
        <w:spacing w:after="0" w:line="14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11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2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3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17"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440" w:right="359" w:bottom="1440" w:gutter="0" w:footer="0" w:header="0"/>
        </w:sectPr>
      </w:pPr>
    </w:p>
    <w:bookmarkStart w:id="36" w:name="page37"/>
    <w:bookmarkEnd w:id="36"/>
    <w:p>
      <w:pPr>
        <w:spacing w:after="0" w:line="14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become subject to FDA regulation as medical devices, we would need to invest significant time and resources to ensure ongoing compliance with FDA quality system regulations and other post-market regulatory requirements.</w:t>
      </w:r>
    </w:p>
    <w:p>
      <w:pPr>
        <w:spacing w:after="0" w:line="11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European Union (EU) IVD Directive and/or the IVD Medical Device Regulation (IVDR) European Union (EU) 2017/746. The IVDR was published in 2017, will replace the IVD Directive, is significantly more extensive than the IVD Directive, including requirements on performance data and quality system, and will become fully enforceable in 2022.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41"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In August 2020,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The impact of this HHS rescission policy, including whether or how this policy will be implemented under the current administration, as well as other legislative, executive, and agency actions of the current administration remains unclear. The Biden administration has also issued a “regulatory freeze” memorandum that directs department and agency heads to review any new or pending rules of the prior administration. Any restrictions or heightened regulatory requirements on LDTs, IVDs, or RUO products by the FDA, HHS, Congress, or state regulatory authorities may decrease the demand for our products, increase our compliance costs, and negatively impact our business and profitability. We will continue to monitor and assess the impact of changing regulatory landscape on our business.</w:t>
      </w:r>
    </w:p>
    <w:p>
      <w:pPr>
        <w:spacing w:after="0" w:line="11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 xml:space="preserve">For further discussion of the risks we face relating to regulation, see the section titled “Risk factors—Risks related to our business and industry— </w:t>
      </w:r>
      <w:r>
        <w:rPr>
          <w:rFonts w:ascii="Arial" w:cs="Arial" w:eastAsia="Arial" w:hAnsi="Arial"/>
          <w:sz w:val="17"/>
          <w:szCs w:val="17"/>
          <w:i w:val="1"/>
          <w:iCs w:val="1"/>
          <w:color w:val="auto"/>
        </w:rPr>
        <w:t>Our</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Arial" w:cs="Arial" w:eastAsia="Arial" w:hAnsi="Arial"/>
          <w:sz w:val="17"/>
          <w:szCs w:val="17"/>
          <w:color w:val="auto"/>
        </w:rPr>
        <w:t>.”</w:t>
      </w:r>
    </w:p>
    <w:p>
      <w:pPr>
        <w:spacing w:after="0" w:line="12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440" w:right="359" w:bottom="1440" w:gutter="0" w:footer="0" w:header="0"/>
        </w:sectPr>
      </w:pPr>
    </w:p>
    <w:bookmarkStart w:id="37" w:name="page38"/>
    <w:bookmarkEnd w:id="37"/>
    <w:p>
      <w:pPr>
        <w:spacing w:after="0" w:line="14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10"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 often referred to as Brexit, has created uncertainty with regard to data protection regulation in the United Kingdom.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Pursuant to the Trade and Cooperation Agreement, which went into effect on January 1, 2021, the United Kingdom and EU agreed to a specified period during which the United Kingdom will be treated like an EU member state in relation to processing and transfers of personal data for four months from January 1, 2021. This period may be extended by two further months. Furthermore, following the expiration of the specified period, there will be increasing scope for divergence in application, interpretation and enforcement of the data protection law as between the United Kingdom and EEA.</w:t>
      </w:r>
    </w:p>
    <w:p>
      <w:pPr>
        <w:spacing w:after="0" w:line="342"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 xml:space="preserve">For further discussion of the risks we face relating to regulation, see the section titled “Risk factors—Risks related to our business and industry—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are currently subject to, and may in the future become subject to additional, U.S., state and foreign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 compliance with such laws could also impair our efforts to maintain and expand our future customer base, and thereby decrease our revenue.</w:t>
      </w:r>
      <w:r>
        <w:rPr>
          <w:rFonts w:ascii="Arial" w:cs="Arial" w:eastAsia="Arial" w:hAnsi="Arial"/>
          <w:sz w:val="16"/>
          <w:szCs w:val="16"/>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Our success depends in part on our ability to obtain and maintain intellectual property protection for our products and technology. We use a variety of intellectual property protection strategies, including patents, trademarks, trade secrets and other methods of protecting proprietary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440" w:right="359" w:bottom="1440" w:gutter="0" w:footer="0" w:header="0"/>
        </w:sectPr>
      </w:pPr>
    </w:p>
    <w:bookmarkStart w:id="38" w:name="page39"/>
    <w:bookmarkEnd w:id="38"/>
    <w:p>
      <w:pPr>
        <w:spacing w:after="0" w:line="144"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As of December 31, 2020, our owned patents and patent applications, if issued, are expected to expire between 2023 and 2041, in each case without taking into account any possible patent term adjustments or extensions and assuming payment of all appropriate maintenance, renewal, annuity, or other governmental fees.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Such patent portfolio owned by us includes:</w:t>
      </w:r>
    </w:p>
    <w:p>
      <w:pPr>
        <w:spacing w:after="0" w:line="171" w:lineRule="exact"/>
        <w:rPr>
          <w:sz w:val="20"/>
          <w:szCs w:val="20"/>
          <w:color w:val="auto"/>
        </w:rPr>
      </w:pPr>
    </w:p>
    <w:p>
      <w:pPr>
        <w:ind w:left="660" w:right="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pending U.S. and PCT patent applications that are directed to methods for sampling a proteome at specific levels of protein coverage, methods for sampling a proteome under particular assay conditions, and nanoparticle compositions for the same;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pending PCT patent application that is directed to methods for interrogating protein pathways and PPIs with the biosensors;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issued U.S. patent and a pending U.S. patent application directed to the classification of biological states; and</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issued U.S. patent and a pending PCT patent application directed to methods for biomarker discovery, including an algorithm-based method that uses data sampled by the biosensor platform.</w:t>
      </w:r>
    </w:p>
    <w:p>
      <w:pPr>
        <w:spacing w:after="0" w:line="11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exclusively license three issued U.S. patents, six U.S. pending patent applications, one issued ex-U.S. patent and 11 ex-U.S. pending patent applications from BWH, as of December 31, 2020. These patents and patent applications are directed to methods for identifying a biological state, including classification and early detection of cancers and other diseases, using nanoparticle and biosensor compositions, as well as other nanoparticle compositions. Our in-licensed patents and patent applications, if issued, are expected to expire between 2027 and 2037, in each case without taking into account any possible patent term adjustments or extensions and assuming payment of all appropriate maintenance, renewal, annuity, or other governmental fees.</w:t>
      </w:r>
    </w:p>
    <w:p>
      <w:pPr>
        <w:spacing w:after="0" w:line="13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addition to licensing patents and patent applications from BWH, we have also non-exclusively licensed certain of our patents and patent applications to PrognomIQ for use in the field of human diagnostics. Pursuant to our agreement with PrognomIQ, we also assigned a patent application related to lung cancer biomarkers to PrognomIQ. In connection with our agreement with PrognomIQ, we have granted PrognomIQ a non-exclusive sublicense to certain patents and patent applications that we license from BWH under our license agreement with BWH for use in the field of human diagnostics. For further information on the intellectual property transfer and license agreement with PrognomIQ and the license agreement with BWH, see the section titled </w:t>
      </w:r>
      <w:r>
        <w:rPr>
          <w:rFonts w:ascii="Arial" w:cs="Arial" w:eastAsia="Arial" w:hAnsi="Arial"/>
          <w:sz w:val="18"/>
          <w:szCs w:val="18"/>
          <w:i w:val="1"/>
          <w:iCs w:val="1"/>
          <w:color w:val="auto"/>
        </w:rPr>
        <w:t>“Business —Collaboration and License Agreements.”</w:t>
      </w:r>
    </w:p>
    <w:p>
      <w:pPr>
        <w:spacing w:after="0" w:line="13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intend to pursue additional intellectual property protection to the extent we believe it would be beneficial and cost-effective.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our owned and in-licensed intellectual property, we cannot provide any assurance that any of our current or future patent applications will result in the issuance of patents in any particular jurisdiction, or that any of our current or future issued patents will effectively protect any of our products or technology from infringement or prevent others from commercializing infringing products or technology. Even if our pending patent applications are granted as issued patents, those patents may be challenged, circumvented or invalidated by third parties. Consequently, we may not obtain or maintain adequate patent protection for any of our products or technologies.</w:t>
      </w:r>
    </w:p>
    <w:p>
      <w:pPr>
        <w:spacing w:after="0" w:line="124"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addition to our reliance on patent protection for our inventions, products and technologies, we also rely on trade secrets, know-how, confidentiality agreements and continuing technological innovation to develop and maintain our competitive position. For example, some elements of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and we may not have adequate remedies for any breach. In addition, third parties may independently develop substantially equivalent proprietary information and techniques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 xml:space="preserve">otherwise gain access to our trade secrets or disclose our technology. As a result, we may not be able to meaningfully protect our trade secrets. For further discussion of the risks relating to intellectual property, see the section titled </w:t>
      </w:r>
      <w:r>
        <w:rPr>
          <w:rFonts w:ascii="Arial" w:cs="Arial" w:eastAsia="Arial" w:hAnsi="Arial"/>
          <w:sz w:val="17"/>
          <w:szCs w:val="17"/>
          <w:i w:val="1"/>
          <w:iCs w:val="1"/>
          <w:color w:val="auto"/>
        </w:rPr>
        <w:t>“Risk factors—Risks Related to our Intellectual Property.”</w:t>
      </w:r>
    </w:p>
    <w:p>
      <w:pPr>
        <w:spacing w:after="0" w:line="88" w:lineRule="exact"/>
        <w:rPr>
          <w:sz w:val="20"/>
          <w:szCs w:val="20"/>
          <w:color w:val="auto"/>
        </w:rPr>
      </w:pPr>
    </w:p>
    <w:p>
      <w:pPr>
        <w:jc w:val="right"/>
        <w:ind w:right="8180"/>
        <w:spacing w:after="0"/>
        <w:rPr>
          <w:sz w:val="20"/>
          <w:szCs w:val="20"/>
          <w:color w:val="auto"/>
        </w:rPr>
      </w:pPr>
      <w:r>
        <w:rPr>
          <w:rFonts w:ascii="Arial" w:cs="Arial" w:eastAsia="Arial" w:hAnsi="Arial"/>
          <w:sz w:val="16"/>
          <w:szCs w:val="16"/>
          <w:b w:val="1"/>
          <w:bCs w:val="1"/>
          <w:color w:val="auto"/>
        </w:rPr>
        <w:t>Collaboration and License Agreements</w:t>
      </w:r>
    </w:p>
    <w:p>
      <w:pPr>
        <w:spacing w:after="0" w:line="198" w:lineRule="exact"/>
        <w:rPr>
          <w:sz w:val="20"/>
          <w:szCs w:val="20"/>
          <w:color w:val="auto"/>
        </w:rPr>
      </w:pPr>
    </w:p>
    <w:p>
      <w:pPr>
        <w:jc w:val="right"/>
        <w:ind w:right="8140"/>
        <w:spacing w:after="0"/>
        <w:rPr>
          <w:sz w:val="20"/>
          <w:szCs w:val="20"/>
          <w:color w:val="auto"/>
        </w:rPr>
      </w:pPr>
      <w:r>
        <w:rPr>
          <w:rFonts w:ascii="Arial" w:cs="Arial" w:eastAsia="Arial" w:hAnsi="Arial"/>
          <w:sz w:val="17"/>
          <w:szCs w:val="17"/>
          <w:b w:val="1"/>
          <w:bCs w:val="1"/>
          <w:i w:val="1"/>
          <w:iCs w:val="1"/>
          <w:color w:val="auto"/>
        </w:rPr>
        <w:t>The Brigham and Women’s Hospital</w:t>
      </w:r>
    </w:p>
    <w:p>
      <w:pPr>
        <w:spacing w:after="0" w:line="18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December 2017, we entered into an exclusive patent license agreement with BWH, pursuant to which we obtained an exclusive, royalty-bearing, sublicensable (with approval from BWH) license to certain U.S. and foreign patents and patent applications in one patent family related to methods for identifying a biological state using nanoparticle and biosensor compositions and other nanoparticle compositions to develop, manufacture, use and commercialize products and processes in all fields, including but not limited to therapeutic, diagnostic, or other uses, on a worldwide basis. In addition, we were also granted an exclusive, royalty-bearing, sublicensable (with approval from BWH) license to certain U.S. pending patent applications in another patent family to develop, manufacture, use and commercialize products and processes in all fields, including but not limited to therapeutic, diagnostic, or other uses, other than for the treatment of cancer through antigen-specific immune stimulation or the treatment of disease through immune tolerance or immune switching of lymphocyte subclasses. We may sublicense the patent rights licensed under the agreement subject to certain conditions, including obtaining the review and approval by BWH of such sublicense and any such sublicense must be consistent with and subject to the terms of the agreement.</w:t>
      </w:r>
    </w:p>
    <w:p>
      <w:pPr>
        <w:spacing w:after="0" w:line="112"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In consideration for the licenses granted under the agreement, we must pay BWH annual license fees prior to the first commercial sale of a licensed product that range in the low- to mid-five digit figures, and a low single digit royalty on net sales of licensed products beginning with the first commercial sale of a licensed product in any country during the term of the agreement. In the event we commercialize a product in the therapeutic space, we are also required to make certain drug-approval regulatory and commercialization milestone payments to BWH of up to a mid-seven digit figure in the aggregate for licensed products. In the event we sublicense any of the licensed intellectual property, we must pay BWH a percentage of any sublicense income received by us, which on a going-forward basis will be in the high single digits.</w:t>
      </w:r>
    </w:p>
    <w:p>
      <w:pPr>
        <w:spacing w:after="0" w:line="12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Under the terms of the agreement, we are required to use commercially reasonable efforts to develop and commercialize the licensed products, including in accordance to certain developmental, funding, regulatory and commercialization milestones. BWH controls the prosecution, maintenance and enforcement of all licensed patents and patent applications under the agreement.</w:t>
      </w:r>
    </w:p>
    <w:p>
      <w:pPr>
        <w:spacing w:after="0" w:line="130"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Unless earlier terminated, the agreement continues until the expiration of the last to expire patent right licensed under the agreement. Subject to an applicable cure period, BWH may terminate the agreement if we fail to comply with applicable payments or diligence obligations or upon a breach of our obligation under the agreement, or for certain insolvency-related events.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PrognomIQ</w:t>
      </w:r>
    </w:p>
    <w:p>
      <w:pPr>
        <w:spacing w:after="0" w:line="17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August 2020, we entered into an intellectual property transfer and license agreement and, in October 2020, we entered into an intellectual property sublicense agreement, in each case with PrognomIQ in connection with the spin-out of PrognomIQ. Under the intellectual property transfer and license agreement, we granted PrognomIQ a non-exclusive, perpetual, irrevocable (subject to termination for breach) license to certain patents and patent applications that we own and, under the intellectual property sublicense agreement, we granted a non-exclusive sublicense to certain patent applications exclusively licensed from BWH, in each case, relating to our core technology to develop, manufacture and commercialize licensed products for the field of human diagnostics on a worldwide basis. In addition, we assigned a patent application relating to lung cancer biomarkers, and transferred certain clinical samples, contracts and other related assets to PrognomIQ. PrognomIQ may extend such licensed and sublicensed rights to customers of licensed products. PrognomIQ is not required to pay us any royalties or fees pursuant to the intellectual property transfer and license agreement. In consideration of the non-exclusive sublicense to certain patent applications licensed from BWH, PrognomIQ paid us a low-five digit figure, and would pay a low single digit royalty, in an amount equivalent to what we would have to pay under our license with BWH, on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320" w:top="1440" w:right="399" w:bottom="1440" w:gutter="0" w:footer="0" w:header="0"/>
        </w:sectPr>
      </w:pPr>
    </w:p>
    <w:bookmarkStart w:id="40" w:name="page41"/>
    <w:bookmarkEnd w:id="40"/>
    <w:p>
      <w:pPr>
        <w:spacing w:after="0" w:line="14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sales of sublicensed products beginning with the first commercial sale of a sublicensed product during the term of the intellectual property sublicense agreement.</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event we elect to grant an exclusive license to a third party in the field of human diagnostics for any of the patents and patent applications licensed or sublicensed, as applicable, to PrognomIQ under the respective agreements, we are required to first negotiate with PrognomIQ for a period of sixty days for a license or sublicense, as applicable, to such rights on reasonable terms. Furthermore, for a period of two years after the effective date, we are required to negotiate in good faith with PrognomIQ for a license or sublicense, as applicable, to any improvements to the patents and patent applications assigned or licensed or sublicensed, as applicable, under the intellectual property transfer and license agreement and the intellectual property sublicense agreement.</w:t>
      </w:r>
    </w:p>
    <w:p>
      <w:pPr>
        <w:spacing w:after="0" w:line="13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Neither party may assign the intellectual property transfer and license agreement nor any rights or obligations under the agreement without the other party’s prior written consent, other than to an affiliate or pursuant to an acquisition. PrognomIQ may not assign the intellectual property sublicense agreement or any rights or obligations under the agreement without our prior written consent, other than to an affiliate or pursuant to an acquisition, and in any event only with BWH’s prior written consent. Our right to assign the intellectual property sublicense agreement and any rights or obligations under the agreement is subject to the terms and conditions of our license with BWH. Unless terminated earlier, the terms of the both agreements continue until the expiration of the last to expire intellectual property right granted under such agreement. Either party may terminate either agreement for an uncured breach of the other party, upon which all licenses granted under such agreement to the breaching party will terminate.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Collaborators</w:t>
      </w:r>
    </w:p>
    <w:p>
      <w:pPr>
        <w:spacing w:after="0" w:line="17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Oregon Health &amp; Science University (OHSU), an academic health center, and The Broad Institute of MIT and Harvard (Broad Institute), a biomedical and genomic research center, are our collaborators. Researchers at OHSU are using our product to facilitate various research efforts focused on proteomic profiling of various oncology versus control samples to determine protein signatures common between various cancer samples versus signatures found in control samples. Researchers at the Broad Institute intend to use our product to analyze protein signatures in diseased vs. non-diseased samples undergoing drug perturbations in various clinical applications including cardiovascular disease.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January 2021, Discovery Life Sciences, a biomedical and genomic research center, became one of our collaborators.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17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have assembled a highly qualified scientific advisory board composed of advisors who have deep expertise in the fields of nanotechnology, proteomics, genomics, medicine, regulatory compliance and data science. Our scientific advisory board is composed of Robert Langer, Sc.D., Mostafa Ronaghi, Ph.D., Steve Carr, Ph.D., Vivek Farias, Ph.D., Philip Kantoff, M.D., Erwin Böttinger, M.D., Charles Cantor, Ph.D., Bradley Hyman, M.D., Mark McClellan, Ph.D., M.D., Wolfgang Parak, Ph.D., Ralph Weissleder, M.D. and Luis Diaz, M.D.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7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As of December 31, 2020, we had 60 employees, all based in the United States, many of whom hold doctorate degrees. Of these employees, 45 were engaged in in research and development activities, and 15 were engaged in selling, general and administrative activities. None of our employees are represented by a labor union or covered under a collective bargaining agreement.</w:t>
      </w:r>
    </w:p>
    <w:p>
      <w:pPr>
        <w:spacing w:after="0" w:line="13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 and History</w:t>
      </w:r>
    </w:p>
    <w:p>
      <w:pPr>
        <w:spacing w:after="0" w:line="17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were incorporated in Delaware on March 16, 2017, under the name Seer Biosciences, Inc., and changed our name to Seer, Inc. on July 16, 2018. Our principal executive offices are located at 3800 Bridge Parkway, Suite 102, Redwood City, California 94065. Our telephone number is 650-543-0000. Our website address is http://seer.bio. Information contained on, or that can be accessed through, our website should not be considered to be part of this Annual Report.</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use Seer and Proteograph as trademarks in the United States and other countries. This Annual Report contains references to our trademarks and service marks and to those belonging to other entities. Solely for convenience, trademarks and trade names referred to in this Annual Report,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the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w:t>
      </w:r>
    </w:p>
    <w:p>
      <w:pPr>
        <w:spacing w:after="0" w:line="134"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An emerging growth company may take advantage of reduced reporting requirements that are otherwise applicable to public companies. These provisions include, but are not limited to:</w:t>
      </w:r>
    </w:p>
    <w:p>
      <w:pPr>
        <w:spacing w:after="0" w:line="11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of 2002, as amended;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182" w:lineRule="exact"/>
        <w:rPr>
          <w:rFonts w:ascii="Arial" w:cs="Arial" w:eastAsia="Arial" w:hAnsi="Arial"/>
          <w:sz w:val="17"/>
          <w:szCs w:val="17"/>
          <w:color w:val="auto"/>
        </w:rPr>
      </w:pPr>
    </w:p>
    <w:p>
      <w:pPr>
        <w:ind w:left="660" w:right="4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1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12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To the extent that we continue to qualify as a "smaller reporting company," as such term is defined in Rule 12b-2 under the Securities Exchange Act of 1934, after we cease to qualify as an emerging growth company, we will continue to be permitted to make certain reduced disclosures in our periodic reports and other documents that we file with the SEC.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right="380" w:firstLine="324"/>
        <w:spacing w:after="0" w:line="311" w:lineRule="auto"/>
        <w:rPr>
          <w:sz w:val="20"/>
          <w:szCs w:val="20"/>
          <w:color w:val="auto"/>
        </w:rPr>
      </w:pPr>
      <w:r>
        <w:rPr>
          <w:rFonts w:ascii="Arial" w:cs="Arial" w:eastAsia="Arial" w:hAnsi="Arial"/>
          <w:sz w:val="16"/>
          <w:szCs w:val="16"/>
          <w:color w:val="auto"/>
        </w:rPr>
        <w:t>We make our Annual Reports on Form 10-K, Quarterly Reports on Form 10-Q, Current Reports on Form 8-K, and amendments to those reports, available free of charge at our website as soon as reasonably practicable after they have been filed with the SEC. Our website address is http://seer.bio. Information on our website is not part of this report. The SEC maintains a website that contains the materials we file with the SEC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as well as the other information in this Annual Report, including our consolidated financial statements and the related notes and the section titled “Management’s Discussion and Analysis of Financial Condition and Results of Operations” in this Annual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subject to numerous risks and uncertainties that you should consider before investing in our company, as more fully described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principal factors and uncertainties that make investing in our company risky include, among others:</w:t>
      </w:r>
    </w:p>
    <w:p>
      <w:pPr>
        <w:spacing w:after="0" w:line="157" w:lineRule="exact"/>
        <w:rPr>
          <w:sz w:val="20"/>
          <w:szCs w:val="20"/>
          <w:color w:val="auto"/>
        </w:rPr>
      </w:pPr>
    </w:p>
    <w:p>
      <w:pPr>
        <w:ind w:left="660" w:right="48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6" w:lineRule="exact"/>
        <w:rPr>
          <w:rFonts w:ascii="Arial" w:cs="Arial" w:eastAsia="Arial" w:hAnsi="Arial"/>
          <w:sz w:val="18"/>
          <w:szCs w:val="18"/>
          <w:color w:val="auto"/>
        </w:rPr>
      </w:pPr>
    </w:p>
    <w:p>
      <w:pPr>
        <w:ind w:left="660" w:right="8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the prospects for our future viability and predict our future performance;</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16"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not yet commercially launched our Proteograph Product Suite, and we may not be able to successfully commercially launch our Proteograph as planned;</w:t>
      </w:r>
    </w:p>
    <w:p>
      <w:pPr>
        <w:spacing w:after="0" w:line="116" w:lineRule="exact"/>
        <w:rPr>
          <w:rFonts w:ascii="Arial" w:cs="Arial" w:eastAsia="Arial" w:hAnsi="Arial"/>
          <w:sz w:val="18"/>
          <w:szCs w:val="18"/>
          <w:color w:val="auto"/>
        </w:rPr>
      </w:pPr>
    </w:p>
    <w:p>
      <w:pPr>
        <w:ind w:left="660" w:right="9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 if we commercially launch our Proteograph Product Suite, our success depends on broad scientific and market acceptance of our Proteograph, which we may fail to achieve;</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16"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have adversely impacted, and are expected to continue to materially and adversely impact, our business and operations;</w:t>
      </w:r>
    </w:p>
    <w:p>
      <w:pPr>
        <w:spacing w:after="0" w:line="116"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 and</w:t>
      </w:r>
    </w:p>
    <w:p>
      <w:pPr>
        <w:spacing w:after="0" w:line="129" w:lineRule="exact"/>
        <w:rPr>
          <w:rFonts w:ascii="Arial" w:cs="Arial" w:eastAsia="Arial" w:hAnsi="Arial"/>
          <w:sz w:val="18"/>
          <w:szCs w:val="18"/>
          <w:color w:val="auto"/>
        </w:rPr>
      </w:pPr>
    </w:p>
    <w:p>
      <w:pPr>
        <w:ind w:left="660" w:right="8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an early-stage life sciences technology company, and we have incurred significant losses since we were formed in 2017, and expect to continue to incur losses in the future. We incurred net losses of $32.8 million and $16.0 million in 2020 and 2019, respectively. As of December 31, 2020, we had an accumulated deficit of $55.4 million. These losses and accumulated deficit were primarily due to the substantial investments we have made to develop and improve our technology and our Proteograph Product Suite. Over the next several years, we expect to continue to devote substantially all of our resources towards continuing development and future commercialization of our Proteograph Product Suite and research and development efforts for products. These efforts may prove more costly than we currently anticipate. We have not generated any product revenue and we may never generate revenue sufficient to offset our expenses, or at all. In addition, as a newly public company, we will incur significant legal, accounting, administrative, insurance and other expenses that we did not incur as a private company. Accordingly, we cannot assure you that we will achieve profitability in the future or that, if we do become profitable, we will sustain profitability.</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which may make it difficult to evaluate the prospects for our future viability and predict our future performance.</w:t>
      </w:r>
    </w:p>
    <w:p>
      <w:pPr>
        <w:spacing w:after="0" w:line="206"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have not commercialized our Proteograph Product Suite or any other products and have not generated any revenue to date. Our operations to date have been limited to developing our technology and products. Our prospects must be considered in light of the uncertainties, risks, expenses, and difficulties frequently encountered by companies in their early stages of operations. We have not yet achieved market acceptance for our products, produced our products at scale, established a sales model, or conducted sales and marketing activities necessary for successful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2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1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commercialize our Proteograph Product Suite on our anticipated timeline;</w:t>
      </w:r>
    </w:p>
    <w:p>
      <w:pPr>
        <w:spacing w:after="0" w:line="171"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and development and commercialization activities relating to our Proteograph Product Suite, including our SP100 automation instrument and proprietary engineered nanoparticle (NP) technology, which may change from time to time;</w:t>
      </w:r>
    </w:p>
    <w:p>
      <w:pPr>
        <w:spacing w:after="0" w:line="69" w:lineRule="exact"/>
        <w:rPr>
          <w:rFonts w:ascii="Arial" w:cs="Arial" w:eastAsia="Arial" w:hAnsi="Arial"/>
          <w:sz w:val="16"/>
          <w:szCs w:val="16"/>
          <w:color w:val="auto"/>
        </w:rPr>
      </w:pPr>
    </w:p>
    <w:p>
      <w:pPr>
        <w:ind w:left="660" w:right="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demand for any products we are able to commercialize, particularly our Proteograph Product Suite, which may vary significantly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4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drive adoption of our Proteograph in our target markets and our ability to expand into any future target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prices at which we will be able to sell our Proteograph Product Suite;</w:t>
      </w:r>
    </w:p>
    <w:p>
      <w:pPr>
        <w:spacing w:after="0" w:line="171" w:lineRule="exact"/>
        <w:rPr>
          <w:rFonts w:ascii="Arial" w:cs="Arial" w:eastAsia="Arial" w:hAnsi="Arial"/>
          <w:sz w:val="18"/>
          <w:szCs w:val="18"/>
          <w:color w:val="auto"/>
        </w:rPr>
      </w:pPr>
    </w:p>
    <w:p>
      <w:pPr>
        <w:ind w:left="660" w:right="8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volume and mix of our sales between our Proteograph consumables, SP100 automation instruments and software, or changes in the manufacturing or sales costs related to our products;</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length of time of the sales cycle for purchases of our Proteograph, including lead time needed to procure SP100 automation instruments from our third-party contract manufacturer;</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and budget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when we recognize any revenues;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our business operations, and resources and operations of our customers, suppliers, and distributors; and</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11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Class A common stock to decline.</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1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market for proteomics and genomics technologies and products is evolving, making it difficult to predict with any accuracy the size of the markets for our current and future products, including our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1440" w:right="379" w:bottom="1440" w:gutter="0" w:footer="0" w:header="0"/>
        </w:sectPr>
      </w:pPr>
    </w:p>
    <w:bookmarkStart w:id="45" w:name="page46"/>
    <w:bookmarkEnd w:id="45"/>
    <w:p>
      <w:pPr>
        <w:spacing w:after="0" w:line="14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In addition, our Proteograph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14"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have not yet initiated a broad commercial launch of our Proteograph Product Suite, and we may not be able to successfully commercially launch our Proteograph Product Suite as planned.</w:t>
      </w:r>
    </w:p>
    <w:p>
      <w:pPr>
        <w:spacing w:after="0" w:line="1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not yet initiated a broad commercial launch of our Proteograph Product Suite. We plan to follow a three phase launch plan to commercialize our Proteograph, which includes a collaboration phase, an early access limited release phase and a broad commercial availability phase. We are currently in the collaboration phase and moving into the early access limited release phase of our commercial launch plan. Our commercial launch plan may not progress as planned due to:</w:t>
      </w:r>
    </w:p>
    <w:p>
      <w:pPr>
        <w:spacing w:after="0" w:line="13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inability to establish the capabilities and value proposition of our Proteograph Product Suite with key opinion leaders in a timely fashion;</w:t>
      </w:r>
    </w:p>
    <w:p>
      <w:pPr>
        <w:spacing w:after="0" w:line="182" w:lineRule="exact"/>
        <w:rPr>
          <w:rFonts w:ascii="Arial" w:cs="Arial" w:eastAsia="Arial" w:hAnsi="Arial"/>
          <w:sz w:val="17"/>
          <w:szCs w:val="17"/>
          <w:color w:val="auto"/>
        </w:rPr>
      </w:pPr>
    </w:p>
    <w:p>
      <w:pPr>
        <w:ind w:left="660" w:right="4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need or desire to modify aspects of our Proteograph solution prior to entering into the second or third phases of our commercial launch plan;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changing industry or market conditions, customer requirements or competitor offerings over the span of our commercial launch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delays in building out our sales, customer support and marketing organization as needed for each of the phases of our commercial launch plan;</w:t>
      </w:r>
    </w:p>
    <w:p>
      <w:pPr>
        <w:spacing w:after="0" w:line="194" w:lineRule="exact"/>
        <w:rPr>
          <w:rFonts w:ascii="Arial" w:cs="Arial" w:eastAsia="Arial" w:hAnsi="Arial"/>
          <w:sz w:val="16"/>
          <w:szCs w:val="16"/>
          <w:color w:val="auto"/>
        </w:rPr>
      </w:pPr>
    </w:p>
    <w:p>
      <w:pPr>
        <w:ind w:left="660" w:right="7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ramping up manufacturing, either internally or through our suppliers to meet the expected demand in each of the phases of our commercial launch plan; and,</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and research industries, our business operations, and resources and the operations of our customers, suppliers, and distributors.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extent our commercial launch plan is delayed or unsuccessful, our financial results will be adversely impacted.</w:t>
      </w:r>
    </w:p>
    <w:p>
      <w:pPr>
        <w:spacing w:after="0" w:line="171"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b w:val="1"/>
          <w:bCs w:val="1"/>
          <w:i w:val="1"/>
          <w:iCs w:val="1"/>
          <w:color w:val="auto"/>
        </w:rPr>
        <w:t>During the collaboration and the early access limited release phases of the commercial launch of our Proteograph Product Suite, our success depends on broad scientific and market acceptance of our Proteograph, which we may fail to achieve.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440" w:right="359" w:bottom="1440" w:gutter="0" w:footer="0" w:header="0"/>
        </w:sectPr>
      </w:pPr>
    </w:p>
    <w:bookmarkStart w:id="46" w:name="page47"/>
    <w:bookmarkEnd w:id="46"/>
    <w:p>
      <w:pPr>
        <w:spacing w:after="0" w:line="14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ability to achieve and maintain scientific and commercial market acceptance of our Proteograph Product Suite will depend on a number of factors. We expect that our Proteograph will be subject to the market forces and adoption curves common to other new technologies. The market for proteomics and genomics technologies and products is in its early stages of development. If widespread adoption of our Proteograph takes longer than anticipated, or broad scientific and market acceptance does not occur, we will continue to experience operating losses.</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 peer-reviewed journals. In such journal publications, the researchers will describe not only their discoveries, but also the methods, and typically the products used, to fuel such discoveries. Mentions in peer-reviewed journal publications is a driver for the general acceptance of life sciences products, such as our Proteograph Product Suite. During the collaboration and early access limited release phases of our commercialization launch plan, we intend to collaborate with a small number of key opinion leaders who are highly skilled at evaluating novel technologies and whose feedback can help us solidify our commercialization plans and processes. Ensuring that early adopters and key opinion leaders publish research involving the use of our products during the collaboration and early access limited release phases is critical to ensuring our products gain widespread scientific acceptance. In addition, continuing collaborative relationships with such key opinion leaders will be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our progression towards the broad commercial availability phase of our commercialization plan.</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factors in achieving commercial market acceptance, include:</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market and increase awareness of the capabilities of our Proteograph;</w:t>
      </w:r>
    </w:p>
    <w:p>
      <w:pPr>
        <w:spacing w:after="0" w:line="171" w:lineRule="exact"/>
        <w:rPr>
          <w:rFonts w:ascii="Arial" w:cs="Arial" w:eastAsia="Arial" w:hAnsi="Arial"/>
          <w:sz w:val="18"/>
          <w:szCs w:val="18"/>
          <w:color w:val="auto"/>
        </w:rPr>
      </w:pPr>
    </w:p>
    <w:p>
      <w:pPr>
        <w:ind w:left="660" w:right="720" w:hanging="328"/>
        <w:spacing w:after="0" w:line="308"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ability of our Proteograph Product Suite to demonstrate comparable performance in intended use applications broadly in the hands of customers as achieved in the collaboration and early access limited release phases of our commercialization plan;</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customers’ willingness to adopt new products and workflows;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Proteograph’s ease of use and whether it reliably provides advantages over other alternative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rate of adoption of our Proteograph Product Suite by academic institutions, laboratories, biopharmaceutical companies and others;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prices we charge for our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develop new products and workflows and solutions for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competitors develop and commercialize products that perform similar functions as our Proteograph;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71" w:lineRule="exact"/>
        <w:rPr>
          <w:sz w:val="20"/>
          <w:szCs w:val="20"/>
          <w:color w:val="auto"/>
        </w:rPr>
      </w:pPr>
    </w:p>
    <w:p>
      <w:pPr>
        <w:jc w:val="both"/>
        <w:ind w:right="340" w:firstLine="324"/>
        <w:spacing w:after="0" w:line="286" w:lineRule="auto"/>
        <w:rPr>
          <w:sz w:val="20"/>
          <w:szCs w:val="20"/>
          <w:color w:val="auto"/>
        </w:rPr>
      </w:pPr>
      <w:r>
        <w:rPr>
          <w:rFonts w:ascii="Arial" w:cs="Arial" w:eastAsia="Arial" w:hAnsi="Arial"/>
          <w:sz w:val="17"/>
          <w:szCs w:val="17"/>
          <w:color w:val="auto"/>
        </w:rPr>
        <w:t>We cannot assure you that we will be successful in addressing each of these criteria or other criteria that might affect the market acceptance of any products we commercialize, particularly our Proteograph Product Suite. If we are unsuccessful in achieving and maintaining market acceptance of our Proteograph, our business,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440" w:right="359" w:bottom="1440" w:gutter="0" w:footer="0" w:header="0"/>
        </w:sectPr>
      </w:pPr>
    </w:p>
    <w:bookmarkStart w:id="47" w:name="page48"/>
    <w:bookmarkEnd w:id="47"/>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sales and marketing capabilities, we may not be successful in commercializing our Proteograph Product Suite.</w:t>
      </w:r>
    </w:p>
    <w:p>
      <w:pPr>
        <w:spacing w:after="0" w:line="19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have limited experience as a company in sales and marketing and our ability to achieve profitability depends on our being able to attract customers for our Proteograph. Although members of our management team have considerable industry experience, in the future we will be required to expand our sales, marketing, distribution and customer service and support capabilities with the appropriate technical expertise prior to the broad commercial launch of our Proteograph Product Suite. To perform sales, marketing, distribution, and customer service and support successfully, we will face a number of risks, including:</w:t>
      </w:r>
    </w:p>
    <w:p>
      <w:pPr>
        <w:spacing w:after="0" w:line="134" w:lineRule="exact"/>
        <w:rPr>
          <w:sz w:val="20"/>
          <w:szCs w:val="20"/>
          <w:color w:val="auto"/>
        </w:rPr>
      </w:pPr>
    </w:p>
    <w:p>
      <w:pPr>
        <w:ind w:left="660" w:right="18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and customer service and support force necessary to commercialize and gain market acceptance for our technology;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sales, marketing and customer service and support force may be unable to initiate and execute successful commercialization activities.</w:t>
      </w:r>
    </w:p>
    <w:p>
      <w:pPr>
        <w:spacing w:after="0" w:line="183"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may seek to enlist one or more third parties to assist with sales, distribution and customer service and support globally or in certain regions of the world. There is no guarantee, if we do seek to enter into such arrangements, that we will be successful in attracting desirable or experienced sales or distribution partners or that we will be able to enter into such arrangements on favorable terms. If our sales and marketing efforts, or those of any third-party sales and distribution partners, are not successful, our Proteograph may not gain market acceptance, which could materially impact our business operations.</w:t>
      </w:r>
    </w:p>
    <w:p>
      <w:pPr>
        <w:spacing w:after="0" w:line="13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Even if our Proteograph Product Suite is broadly commercialized and achieves broad scientific and market acceptance, if we fail to improve it or introduce compelling new products, our revenues and our prospects could be harmed.</w:t>
      </w:r>
    </w:p>
    <w:p>
      <w:pPr>
        <w:spacing w:after="0" w:line="11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Even if we are able to broadly commercialize our Proteograph Product Suite and achieve broad scientific and market acceptance, our ability to attract new customers and increase revenue from existing customers will depend in large part on our ability to enhance and improve our Proteograph solution and to introduce compelling new products. The success of any enhancement to our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our Proteograph that we develop may not be introduced in a timely or cost-effective manner, may contain defects, errors, vulnerabilities or bugs, or may not achieve the market acceptance necessary to generate significant revenue.</w:t>
      </w:r>
    </w:p>
    <w:p>
      <w:pPr>
        <w:spacing w:after="0" w:line="14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Proteograph solution to meet customer requirements, compete with alternative products, or otherwise gain and maintain market acceptance, our business, results of operations and financial condition could be harmed.</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16"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SP100 automation instrument and NPs. For instance, there are standing “stay-at-home” orders in California, and specifically San Mateo County where our headquarters is located, that require businesses to implement certain social distancing protocols and other written health and safety plans and measures which may affect productivity and morale. We have continued to operate within the rules applicable to our business; however, an extended implementation of these governmental mandates could further impact our ability to operate effectively and conduct ongoing research and development or other activities. The COVID-19 pandemic has also had an adverse effect on our ability to attract, recruit, interview and hire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w:t>
      </w:r>
    </w:p>
    <w:p>
      <w:pPr>
        <w:spacing w:after="0" w:line="12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In the near term, we expect that substantially all of our revenue will be derived from sales of our Proteograph Product Suite, including our instruments and consumables, to academic and research institutions. We are currently in the collaboration phase and moving into the early access limited release phase of our commercialization plan and, as a result, in the near term, our ability to drive the adoption of our Proteograph solution will depend on our ability to visit customer sites, the ability of our customers to access laboratories, and the ability to install and train on our Proteograph Product Suite and conduct research in light of the COVID-19 pandemic. Additionally, as we move into the early access limited release phase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Proteograph. All of these considerations are impacted by factors beyond our control, such as:</w:t>
      </w:r>
    </w:p>
    <w:p>
      <w:pPr>
        <w:spacing w:after="0" w:line="111" w:lineRule="exact"/>
        <w:rPr>
          <w:sz w:val="20"/>
          <w:szCs w:val="20"/>
          <w:color w:val="auto"/>
        </w:rPr>
      </w:pPr>
    </w:p>
    <w:p>
      <w:pPr>
        <w:ind w:left="660" w:right="100" w:hanging="328"/>
        <w:spacing w:after="0" w:line="286"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71"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Additionally, our suppliers have also been impacted by the COVID-19 pandemic. For example, our SP100 automation instrument manufacturer, Hamilton Company, has experienced a surge in demand for equipment and associated consumables used for COVID-19 diagnostics, and as a result, we have experienced longer lead times for our instruments. We have also experienced supply delays for critical hardware, instrumentation and medical and testing supplies that we use for product development, as these other components and supplies are otherwise diverted to COVID-19-related testing and other uses.</w:t>
      </w:r>
    </w:p>
    <w:p>
      <w:pPr>
        <w:spacing w:after="0" w:line="13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320" w:top="1440" w:right="379" w:bottom="1440" w:gutter="0" w:footer="0" w:header="0"/>
        </w:sectPr>
      </w:pPr>
    </w:p>
    <w:bookmarkStart w:id="49" w:name="page50"/>
    <w:bookmarkEnd w:id="49"/>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16"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Proteograph Product Suite and our ability to raise additional capital when needed on favorable terms, if at all. A weak or declining economy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sustain or successfully manage our anticipated growth, our business and prospects will be harmed.</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anticipated growth will place significant strains on our management, operational and manufacturing systems and processes, sales and marketing team, financial systems and internal controls and other aspects of our business. As of December 31, 2020, we had 60 employees. Developing and commercializing our Proteograph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newly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Our ability to successfully manage our expected growth is uncertain given the fact that we have been in operation only since 2017.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3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depend on our key personnel and other highly qualified personnel, and if we are unable to recruit, train and retain our personnel, we may not achieve our goals.</w:t>
      </w:r>
    </w:p>
    <w:p>
      <w:pPr>
        <w:spacing w:after="0" w:line="116"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Our future success depends upon our ability to recruit, train, retain and motivate key personnel. Our senior management team, including Omid Farokhzad, one of our founders and our Chief Executive Officer; Omead Ostadan, our President and Chief Operating Officer; and David Horn, our Chief Financial Officer, is critical to our vision, strategic direction, product development and commercialization efforts. The departure of one or more of our executives officers, senior management team members, or other key employees could be disruptive to our business until we are able to hire qualified successors. We do not maintain “key man” life insurance on our senior management team.</w:t>
      </w:r>
    </w:p>
    <w:p>
      <w:pPr>
        <w:spacing w:after="0" w:line="12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United States is contingent upon the continued availability of appropriate visas. Due to the competition for qualified personnel in the San Francisco Bay Area,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 The current United States rules, regulations, policies and mandates restricting immigration and reforming the work visa process may adversely affect our ability to retain and maintain qualified personnel.</w:t>
      </w:r>
    </w:p>
    <w:p>
      <w:pPr>
        <w:spacing w:after="0" w:line="13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do not maintain fixed term employment contracts with any of our employees. As a result, our employees could leave our company with little or no prior notice and would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pacing w:after="0" w:line="1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expect to be dependent upon revenue generated from the sale of our Proteograph Product Suite from the time it is commercialized through the foreseeable future.</w:t>
      </w:r>
    </w:p>
    <w:p>
      <w:pPr>
        <w:spacing w:after="0" w:line="11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expect that our Proteograph Product Suite will be our first commercial product. While we are in the collaboration phase, and moving into the early access limited release phase, we do not expect to have broad commercial availability for our Proteograph until early 2022. If we are able to successfully commercialize our Proteograph, we expect that we will generate substantially all of our revenue from the sale of our Proteograph, which we expect to consist of consumables, SP100 automation instruments and software. There can be no assurance that we will be able to successfully commercialize our Proteograph, design other products that will meet the expectations of our customers or that any of our future products will become commercially viable. As technologies change in the future for life sciences research tools in general and in proteomics and genomics technologies specifically, we will be expected to upgrade or adapt our Proteograph solution keep up with the latest technology. To date, we have limited experience simultaneously designing, testing, manufacturing and selling products and there can be no assurance we will be able to do so. Our sales expectations are based in part on the assumption that our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w:t>
      </w:r>
    </w:p>
    <w:p>
      <w:pPr>
        <w:spacing w:after="0" w:line="12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our development and commercialization plans for our Proteograph, we may forego other opportunities that may provide greater revenue or be more profitable. If our research and product development efforts do not result in commercially viable products within anticipated timelines, or at all, our business and results of operations will be adversely affected. Any delay or failure by us to develop and release our Proteograph Product Suite or new products or product enhancements would have a substantial adverse effect on our business and results of operations.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Our business will depend significantly on research and development spending by academic and other research institutions, and other third parties, and any reduction in spending could limit demand for our products and adversely affect our business, results of operations, financial condition and prospects.</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expect that substantially all of our sales revenue in the near term will be generated from sales to academic institutions and other research institutions. Much of these customers’ funding will be, in turn, provided by various state, federal and international government agencies. As a result, the demand for our Proteograph will depend upon the research and development budgets of these customers, which are impacted by factors beyond our control, such as:</w:t>
      </w:r>
    </w:p>
    <w:p>
      <w:pPr>
        <w:spacing w:after="0" w:line="13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opinions in the scientific community, including researchers’ opinions of the utility of our Proteograph;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citation of our Proteograph Product Suite in published research;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changes in the regulatory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differences in budgetary cycles, especially government- or grant-funded customers, whose cycles often coincide with government fiscal year ends;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competitor product offerings or pricing;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market-driven pressures to consolidate operations and reduce costs;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acceptance of relatively new technologies, such as our Proteograph.</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for the last 19 years, and reached a new high in 2020, but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rely on a single contract manufacturer to manufacture and supply our instruments. If this manufacturer should fail or not perform satisfactorily, our ability to commercialize and supply our instruments would be adversely affected.</w:t>
      </w:r>
    </w:p>
    <w:p>
      <w:pPr>
        <w:spacing w:after="0" w:line="116"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For example, due to the COVID-19 pandemic and increased demand for Hamilton’s products, we have seen the lead time for our instruments increase significantly. Further, if Hamilton is unable to obtain critical components used in our Proteograph solution or supply our instruments on the timelines we require, our business and commercialization efforts would be harmed.</w:t>
      </w:r>
    </w:p>
    <w:p>
      <w:pPr>
        <w:spacing w:after="0" w:line="123"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In the event it becomes necessary to utilize a different contract manufacturer for our products, we would experience additional costs, delays and difficulties in doing so as a result of identifying and entering into an agreement with a new manufacturer as well as preparing such new manufacturer to meet the logistical requirements associated with manufacturing our instruments, and our business would suffer.</w:t>
      </w:r>
    </w:p>
    <w:p>
      <w:pPr>
        <w:spacing w:after="0" w:line="11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In addition, certain of the components used in our instruments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 not meet specifications, or if we cannot then obtain an acceptable substitute. Our suppliers have also been impacted by the COVID-19 pandemic, and we have also experienced supply delays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critical hardware, instrumentation and medical and testing supplies that we use for product development, as these other components and supplies are otherwise diverted to COVID-19-related testing and other uses. If any of these events occur, our business, results of operations, financial condition and prospects could be harmed.</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have limited experience producing and supplying our products, and we may be unable to consistently manufacture or source our SP100 automation instruments and consumables to the necessary specifications or in quantities necessary to meet demand on a timely basis and at acceptable performance and cost levels.</w:t>
      </w:r>
    </w:p>
    <w:p>
      <w:pPr>
        <w:spacing w:after="0" w:line="13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Our Proteograph Product Suite is an integrated workstation with many different components that work together. As such, a quality defect in a single component can compromise the performance of the entire solution. In order to successfully generate revenue from our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24"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These manufacturing processes are complex. As we move to towards commercial scale formulation and manufacturing of our NP panels, if we are not able to repeatably produce our NPs at commercial scale or source them from third-party suppliers, or encounter unexpected difficulties in packaging our consumables, our business will be adversely impacted.</w:t>
      </w:r>
    </w:p>
    <w:p>
      <w:pPr>
        <w:spacing w:after="0" w:line="122"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automation instrument so that it consistently achieves the product specifications and produces results with acceptable quality. Our NPs and other consumables have a limited shelf life, after which their performance is not ensured. While we have completed accelerated stability testing for our NPs, our real-time long-term liquid stability studies are underway, but have not been completed.</w:t>
      </w:r>
    </w:p>
    <w:p>
      <w:pPr>
        <w:spacing w:after="0" w:line="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our third-party manufacturers fail to maintain ISO quality management certifications, customers might choose not to purchase products from us.</w:t>
      </w:r>
    </w:p>
    <w:p>
      <w:pPr>
        <w:spacing w:after="0" w:line="11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addition, as we commercialize our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134"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1440" w:right="359" w:bottom="1440" w:gutter="0" w:footer="0" w:header="0"/>
        </w:sectPr>
      </w:pPr>
    </w:p>
    <w:bookmarkStart w:id="53" w:name="page54"/>
    <w:bookmarkEnd w:id="53"/>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products could have defects or errors, which may give rise to claims against us, adversely affect market adoption of our Proteograph Product Suite, and adversely affect our business, financial condition, and results of operations.</w:t>
      </w:r>
    </w:p>
    <w:p>
      <w:pPr>
        <w:spacing w:after="0" w:line="11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Proteograph Product Suite utilizes novel and complex technology and may develop or contain undetected defects or errors. We cannot assure you that material performance problems, defects, or errors will not arise, and as we commercialize our Proteograph, these risks may increase. We expect to provide warranties that our products will meet performance expectations and will be free from defects. The costs incurred in correcting any defects or errors may be substantial and could adversely affect our operating margins.</w:t>
      </w:r>
    </w:p>
    <w:p>
      <w:pPr>
        <w:spacing w:after="0" w:line="133"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In manufacturing our Proteograph Product Suite, we depend upon third parties for the supply of our instruments and various components, many of which require a significant degree of technical expertise to produce. If our suppliers fail to produce our SP100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our Proteograph Product Suite contain defects, we may experience:</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failure to achieve market acceptance for our Proteograph or expansion of our Proteograph Product Suite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warranty and customer service and support costs due to product repair or replacement;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to our service department;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In addition, we expect that our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or are defective, they may not be compatible or perform as intended with our Proteograph. In such case, the reliability, results and performance of our Proteograph may be compromised. The occurrence of any one or more of the foregoing may have a material adverse effect on our business, results of operations, financial condition and prospects.</w:t>
      </w:r>
    </w:p>
    <w:p>
      <w:pPr>
        <w:spacing w:after="0" w:line="12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do not successfully develop and deploy our Proteograph Analysis Suite, our commercialization efforts and therefore business and results of operations could suffer.</w:t>
      </w:r>
    </w:p>
    <w:p>
      <w:pPr>
        <w:spacing w:after="0" w:line="11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success of our Proteograph Product Suite depends, in part, on our ability to design and deploy our Proteograph Analysis Suite in a manner that enables the integration with our potential customers’ systems and accommodates our customers’ needs. Without our Proteograph Analysis Suite, the use of MS instruments can require expert knowledge and scalable high-performance computer infrastructure to run efficiently and can make it difficult for our customers to understand and evaluate the quality of their results.</w:t>
      </w:r>
    </w:p>
    <w:p>
      <w:pPr>
        <w:spacing w:after="0" w:line="13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have and will continue to spend significant amounts of effort developing our Proteograph Analysis Suite, and potential enhanced versions over time, to meet our customers’ and potential customers’ evolving needs. There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no assurance that the development or deployment of our Proteograph Analysis Suite, or any potential enhancements, will be compelling to our customers. In addition, we may experience delays in our release dates of our Proteograph Analysis Suite, and there can be no assurance that our Proteograph Analysis Suite will be released according to schedule. If our software development and deployment plan does not accurately anticipate customer demands or if we fail to develop our Proteograph Analysis Suite in a manner that satisfies customer preferences in a timely and cost-effective manner, our Proteograph may fail to gain market acceptance. The occurrence of any one or more of the foregoing could negatively affect our business, financial condition, and results of operations.</w:t>
      </w:r>
    </w:p>
    <w:p>
      <w:pPr>
        <w:spacing w:after="0" w:line="13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If we commercialize our Proteograph Product Suite outside of the United States, our international business could expose us to business, regulatory, political, operational, financial, and economic risks associated with doing business outside of the United States.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Engaging in international business inherently involves a number of difficulties and risks, including:</w:t>
      </w:r>
    </w:p>
    <w:p>
      <w:pPr>
        <w:spacing w:after="0" w:line="171" w:lineRule="exact"/>
        <w:rPr>
          <w:sz w:val="20"/>
          <w:szCs w:val="20"/>
          <w:color w:val="auto"/>
        </w:rPr>
      </w:pPr>
    </w:p>
    <w:p>
      <w:pPr>
        <w:ind w:left="660" w:right="260" w:hanging="328"/>
        <w:spacing w:after="0" w:line="25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133"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export requirements and import or trade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exchange, longer payment cycles and difficulties in enforcing agreements and collecting receivables through certain foreign legal systems;</w:t>
      </w:r>
    </w:p>
    <w:p>
      <w:pPr>
        <w:spacing w:after="0" w:line="116" w:lineRule="exact"/>
        <w:rPr>
          <w:rFonts w:ascii="Arial" w:cs="Arial" w:eastAsia="Arial" w:hAnsi="Arial"/>
          <w:sz w:val="18"/>
          <w:szCs w:val="18"/>
          <w:color w:val="auto"/>
        </w:rPr>
      </w:pPr>
    </w:p>
    <w:p>
      <w:pPr>
        <w:ind w:left="660" w:right="40" w:hanging="328"/>
        <w:spacing w:after="0" w:line="286"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 will suffer.</w:t>
      </w:r>
    </w:p>
    <w:p>
      <w:pPr>
        <w:spacing w:after="0" w:line="19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Bio-Rad Laboratories, Danaher, Luminex, Merck (and its subsidiary MilliporeSigma) and Thermo Fisher Scientific. We also compete with a number of emerging growth companies that have developed, or are developing, proteomic products and solutions, such as Nautilus Biotechnology, Olink Proteomics, Quanterix and SomaLogic.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320" w:top="1440" w:right="379" w:bottom="1440" w:gutter="0" w:footer="0" w:header="0"/>
        </w:sectPr>
      </w:pPr>
    </w:p>
    <w:bookmarkStart w:id="55" w:name="page56"/>
    <w:bookmarkEnd w:id="55"/>
    <w:p>
      <w:pPr>
        <w:spacing w:after="0" w:line="14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may enjoy a number of competitive advantages over us, including:</w:t>
      </w:r>
    </w:p>
    <w:p>
      <w:pPr>
        <w:spacing w:after="0" w:line="11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2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cannot assure investors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investors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13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To date, we have never conducted a review of our internal control for the purpose of providing the reports required by the Sarbanes-Oxley Act (SOX). During our review and testing, we may identify deficiencies and be unable to remediate them before we must provide the required reports. In connection with the audit of our consolidated financial statements for the year ended December 31, 2019, we and our independent registered public accounting firm identified the following material weaknesses in our internal control over financial reporting, which remain unremediated:</w:t>
      </w:r>
    </w:p>
    <w:p>
      <w:pPr>
        <w:spacing w:after="0" w:line="117" w:lineRule="exact"/>
        <w:rPr>
          <w:sz w:val="20"/>
          <w:szCs w:val="20"/>
          <w:color w:val="auto"/>
        </w:rPr>
      </w:pPr>
    </w:p>
    <w:p>
      <w:pPr>
        <w:ind w:left="660" w:right="48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is insufficient accounting personnel to enable segregation of duties relating to the general ledger, disbursement, and certain accounting functions;</w:t>
      </w:r>
    </w:p>
    <w:p>
      <w:pPr>
        <w:spacing w:after="0" w:line="116" w:lineRule="exact"/>
        <w:rPr>
          <w:rFonts w:ascii="Arial" w:cs="Arial" w:eastAsia="Arial" w:hAnsi="Arial"/>
          <w:sz w:val="18"/>
          <w:szCs w:val="18"/>
          <w:color w:val="auto"/>
        </w:rPr>
      </w:pPr>
    </w:p>
    <w:p>
      <w:pPr>
        <w:jc w:val="both"/>
        <w:ind w:left="660" w:right="660" w:hanging="328"/>
        <w:spacing w:after="0" w:line="342"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there are not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69" w:lineRule="exact"/>
        <w:rPr>
          <w:rFonts w:ascii="Arial" w:cs="Arial" w:eastAsia="Arial" w:hAnsi="Arial"/>
          <w:sz w:val="16"/>
          <w:szCs w:val="16"/>
          <w:color w:val="auto"/>
        </w:rPr>
      </w:pPr>
    </w:p>
    <w:p>
      <w:pPr>
        <w:ind w:left="660" w:right="100" w:hanging="328"/>
        <w:spacing w:after="0" w:line="308"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there is not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1440" w:right="359" w:bottom="1440" w:gutter="0" w:footer="0" w:header="0"/>
        </w:sectPr>
      </w:pPr>
    </w:p>
    <w:bookmarkStart w:id="56" w:name="page57"/>
    <w:bookmarkEnd w:id="56"/>
    <w:p>
      <w:pPr>
        <w:spacing w:after="0" w:line="144"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consolidated financial statements will not be prevented or detected on a timely basis.</w:t>
      </w:r>
    </w:p>
    <w:p>
      <w:pPr>
        <w:spacing w:after="0" w:line="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have begun to take certain actions to address the control deficiencies in our financial reporting, including hiring three finance department employees with appropriate expertise, including our Chief Financial Officer and our Controller, and retaining an accounting consulting firm to provide additional depth and breadth to our technical accounting and financial reporting capabilities. We have also begun to review and document our accounting and financial processes and internal controls, build out our financial management and reporting systems infrastructure, and further develop and formalize our accounting policies and financial reporting procedures, which includes ongoing senior management review and establishing our audit committee oversight. In addition, our current plan includes engaging a consulting firm to assist in the design effectiveness and testing of our internal controls and the hiring of an additional four finance and accounting personnel during 2021 to assist in executing on these specific functions, of which we have hired two personnel as of January 31, 2021. While we have begun taking measures and plan to continue to take measures to design and implement an effective control environment, we cannot assure you that the measures we have taken to date and other remediation and internal control measures we implement in the future will be sufficient to remediate our current material weaknesses or prevent future material weaknesses. We may discover additional weaknesses in our system of internal financial and accounting controls and procedures that could result in a material misstatement of our consolidated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2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16"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we are in the process of remedying. However, our efforts to remediate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31"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becoming a public company, we will be required to make a formal assessment of the effectiveness of our internal control over financial reporting, and once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cease to be an emerging growth company, we will be required to include an attestation report on internal control over financial reporting issued by our independent registered public accounting firm. However, for as long as we are an “emerging growth company” under the JOBS Act, our independent registered public accounting firm will not be required to attest to the effectiveness of our internal controls over financial reporting pursuant to Section 404(b).</w:t>
      </w:r>
    </w:p>
    <w:p>
      <w:pPr>
        <w:spacing w:after="0" w:line="13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To achieve compliance with Section 404(a)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3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Class A common stock.</w:t>
      </w:r>
    </w:p>
    <w:p>
      <w:pPr>
        <w:spacing w:after="0" w:line="13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reported in our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Class A common stock.</w:t>
      </w:r>
    </w:p>
    <w:p>
      <w:pPr>
        <w:spacing w:after="0" w:line="11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3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products are currently labeled and promoted, and are, and in the near-future will be, sold primarily to academic and research institutions and research companies as research use only (RUO) products, and are not currently designed, or intended to be used, for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3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1440" w:right="359" w:bottom="1440" w:gutter="0" w:footer="0" w:header="0"/>
        </w:sectPr>
      </w:pPr>
    </w:p>
    <w:bookmarkStart w:id="58" w:name="page59"/>
    <w:bookmarkEnd w:id="5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reporting adverse events or malfunctions for our products, and general prohibitions against misbranding and adulteration.</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 xml:space="preserve">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2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86"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We do not currently expect our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1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11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3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95"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In August 2020,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The impact of this HHS rescission policy, including whether or how this policy will be implemented under the current administration, as well as other legislative, executive, and agency actions of the current administration remains unclear. The Biden administration has also issued a “regulatory freeze” memorandum that directs department and agency heads to review any new or pending rules of the prior administration. Any restrictions or heightened regulatory requirements on LDTs, IVDs, or RUO products by the FDA, HHS, Congress, or state regulatory authorities may decrease the demand for our products, increase our compliance costs, and negatively impact our business and profitability. We will continue to monitor and assess the impact of changing regulatory landscape on our business.</w:t>
      </w:r>
    </w:p>
    <w:p>
      <w:pPr>
        <w:spacing w:after="0" w:line="11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We may need to raise additional capital to fund commercialization plans for our Proteograph Product Suite, including manufacturing, sales and marketing activities, expand our investments in research, and develop and commercialize new products and applications.</w:t>
      </w:r>
    </w:p>
    <w:p>
      <w:pPr>
        <w:spacing w:after="0" w:line="7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Based on our current plans, we believe that our current cash and cash equivalents and anticipated cash flow from operations will be sufficient to meet our anticipated cash requirements for at least twelve months from the date of this Annual Report. If our available cash resources and anticipated cash flow from operations are insufficient to satisfy our liquidity requirements including because of lower demand for our products or the realization of other risks described in this Annual Report, we may be required to raise additional capital prior to such time through issuances of equity or convertible debt securities, entrance into a credit facility or another form of third-party funding or seek other debt financing.</w:t>
      </w:r>
    </w:p>
    <w:p>
      <w:pPr>
        <w:spacing w:after="0" w:line="122"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We will consider raising additional capital in the future to expand our business, to pursue strategic investments, to take advantage of financing opportunities or for other reasons, including:</w:t>
      </w:r>
    </w:p>
    <w:p>
      <w:pPr>
        <w:spacing w:after="0" w:line="116" w:lineRule="exact"/>
        <w:rPr>
          <w:sz w:val="20"/>
          <w:szCs w:val="20"/>
          <w:color w:val="auto"/>
        </w:rPr>
      </w:pPr>
    </w:p>
    <w:p>
      <w:pPr>
        <w:ind w:left="660" w:right="74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increasing our sales and marketing and other commercialization efforts to drive market adoption of our Proteograph Product Suite, once commercialized;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funding development and marketing efforts of our Proteograph Product Suite or any other future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acquiring, licensing or investing in technologies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acquiring or investing in complementary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1" w:lineRule="exact"/>
        <w:rPr>
          <w:sz w:val="20"/>
          <w:szCs w:val="20"/>
          <w:color w:val="auto"/>
        </w:rPr>
      </w:pPr>
    </w:p>
    <w:p>
      <w:pPr>
        <w:ind w:left="660" w:right="20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rate of progress in launching and commercializing our Proteograph Product Suite and new products, and the cost of the sales and marketing activities associated with establishing adoption of our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rate of progress in, and cost of research and development activities associated with, products in research and development;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80"/>
          </w:cols>
          <w:pgMar w:left="320" w:top="1440" w:right="399" w:bottom="1440" w:gutter="0" w:footer="0" w:header="0"/>
        </w:sectPr>
      </w:pPr>
    </w:p>
    <w:bookmarkStart w:id="61" w:name="page62"/>
    <w:bookmarkEnd w:id="61"/>
    <w:p>
      <w:pPr>
        <w:spacing w:after="0" w:line="14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34"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Proteograph Product Suite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34"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of PrognomIQ as a separate healthcare company in the area of disease testing.</w:t>
      </w:r>
    </w:p>
    <w:p>
      <w:pPr>
        <w:spacing w:after="0" w:line="171"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In August 2020, we transferred certain assets to PrognomIQ, as a separate healthcare company to help enable the growth of ecosystems around new applications that leverage our Proteograph solution for unbiased, deep and large-scale proteomic information. We continue to hold approximately 19% of the outstanding capital stock of PrognomIQ. We may not realize the potential benefits of forming PrognomIQ for a variety of reasons, including:</w:t>
      </w:r>
    </w:p>
    <w:p>
      <w:pPr>
        <w:spacing w:after="0" w:line="9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PrognomIQ may be unable to successfully develop viable testing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PrognomIQ’s business may not help demonstrate the value of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inability to reach agreement with PrognomIQ on future commercial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PrognomIQ may not become a meaningful customer of ours;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PrognomIQ may need to raise additional funding in the future and be unable to do so; and</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formation of PrognomIQ and our continuing equity position in PrognomIQ may add complexities to our business from a finance, tax and accounting perspective.</w:t>
      </w:r>
    </w:p>
    <w:p>
      <w:pPr>
        <w:spacing w:after="0" w:line="116"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products and technology, or if the scope of the intellectual property protection obtained is not sufficiently broad,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440" w:right="359" w:bottom="1440" w:gutter="0" w:footer="0" w:header="0"/>
        </w:sectPr>
      </w:pPr>
    </w:p>
    <w:bookmarkStart w:id="62" w:name="page63"/>
    <w:bookmarkEnd w:id="62"/>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competitors could develop and commercialize products similar or identical to ours, and our ability to successfully commercialize our products may be impaired.</w:t>
      </w:r>
    </w:p>
    <w:p>
      <w:pPr>
        <w:spacing w:after="0" w:line="116"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litigation costs in our attempts to recover or restrict use of our intellectual property.</w:t>
      </w:r>
    </w:p>
    <w:p>
      <w:pPr>
        <w:spacing w:after="0" w:line="10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spacing w:after="0" w:line="11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1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4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1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2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2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71"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Filing, prosecuting and defending patents on our Proteograph Product Suite in all countries throughout the world would be prohibitively expensive, and our intellectual property rights in some countries outside the United States can be less extensive than those in the United States.</w:t>
      </w:r>
    </w:p>
    <w:p>
      <w:pPr>
        <w:spacing w:after="0" w:line="9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and we and our licensor may encounter difficulties in protecting and defending such rights in foreign jurisdictions. Consequently, we and our licensor may not be able to prevent third parties from practicing our inventions in some or all countries outside the United States, or from selling or importing products made using our or our licensor’s inventions in and into the United States or other jurisdictions. Competitors and other third parties may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3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2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7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440" w:right="359" w:bottom="1440" w:gutter="0" w:footer="0" w:header="0"/>
        </w:sectPr>
      </w:pPr>
    </w:p>
    <w:bookmarkStart w:id="65" w:name="page66"/>
    <w:bookmarkEnd w:id="65"/>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1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1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parts of our Proteograph Product Suite,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from academic to industry scientific positions.</w:t>
      </w:r>
    </w:p>
    <w:p>
      <w:pPr>
        <w:spacing w:after="0" w:line="13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3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33"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1440" w:right="379" w:bottom="1440" w:gutter="0" w:footer="0" w:header="0"/>
        </w:sectPr>
      </w:pPr>
    </w:p>
    <w:bookmarkStart w:id="66" w:name="page67"/>
    <w:bookmarkEnd w:id="66"/>
    <w:p>
      <w:pPr>
        <w:spacing w:after="0" w:line="14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7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or our licensor may be subject to claims that former employees, collaborators or other third parties have an interest in our owned or in-licensed patents, trade secrets or other intellectual property as an inventor or co-inventor. For example,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spacing w:after="0" w:line="11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Litigation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Proteograph solution,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For example, we are aware of a third party in certain jurisdictions outside of the United States that have filed to own the trademark registrations for the trademark, SEER, and have opposed our application for registration for such trademark. If they succeed in registering or developing common law rights in such trademark or any other trademarks that are similar or identical to our trademarks, and if we are not successful in challenging such rights and defending against challenges to our trademarks, we may not be able to use such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 party trade names or trademarks to avoid potential trademark litigation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jc w:val="both"/>
        <w:ind w:right="120"/>
        <w:spacing w:after="0" w:line="275" w:lineRule="auto"/>
        <w:rPr>
          <w:sz w:val="20"/>
          <w:szCs w:val="20"/>
          <w:color w:val="auto"/>
        </w:rPr>
      </w:pPr>
      <w:r>
        <w:rPr>
          <w:rFonts w:ascii="Arial" w:cs="Arial" w:eastAsia="Arial" w:hAnsi="Arial"/>
          <w:sz w:val="17"/>
          <w:szCs w:val="17"/>
          <w:color w:val="auto"/>
        </w:rPr>
        <w:t>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Proteograph Product Suite for an adequate amount of time.</w:t>
      </w:r>
    </w:p>
    <w:p>
      <w:pPr>
        <w:spacing w:after="0" w:line="18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2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If third parties, including our competitors, believe that our products or technologies infringe, misappropriate or otherwise violate their intellectual property, such third parties may seek to enforce their intellectual property, including patents against us by filing an intellectual property-related lawsuit, including patent infringement lawsuit, against us. Even if we believe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proteomes, including through the use of nanoparticles. Such patent is expected to expire in 2026, without taking into account any possible patent term adjustments or extensions. We are also aware of pending patent applications in Europe and in the United States owned by a third party that are directed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to methods of identifying biomarkers in biofluids using nanoparticles and, if issued, is projected to expire in 2037, without taking into account any possible patent term adjustments or extensions. Such patent and patent applications could be construed to cover our products and technologies, including our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or technology and we may be required to redesign such products and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114"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 xml:space="preserve">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Arial" w:cs="Arial" w:eastAsia="Arial" w:hAnsi="Arial"/>
          <w:sz w:val="16"/>
          <w:szCs w:val="16"/>
          <w:i w:val="1"/>
          <w:iCs w:val="1"/>
          <w:color w:val="auto"/>
        </w:rPr>
        <w:t>ex-parte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proceeding or opposition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opposition proceedings could be substantial. There can be no assurance that our defenses of non-infringement, invalidity or unenforceability will succeed.</w:t>
      </w:r>
    </w:p>
    <w:p>
      <w:pPr>
        <w:spacing w:after="0" w:line="11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4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and technologies, any of which could have a material adverse effect on our business, financial condition, results of operations and prospects. The outcome in any such proceedings are unpredictable.</w:t>
      </w:r>
    </w:p>
    <w:p>
      <w:pPr>
        <w:spacing w:after="0" w:line="12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1440" w:right="359" w:bottom="1440" w:gutter="0" w:footer="0" w:header="0"/>
        </w:sectPr>
      </w:pPr>
    </w:p>
    <w:bookmarkStart w:id="69" w:name="page70"/>
    <w:bookmarkEnd w:id="69"/>
    <w:p>
      <w:pPr>
        <w:spacing w:after="0" w:line="14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adverse effect on our business, financial condition, results of operations and prospects.</w:t>
      </w:r>
    </w:p>
    <w:p>
      <w:pPr>
        <w:spacing w:after="0" w:line="12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2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92"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We have employed and expect to employ individuals, and engaged consultants and expect to engage consultants, who were previously employed, or consulted, at universities or other companies, including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14"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4"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Furthermore, we or our licensor may in the future be subject to claims by former employees, consultants or other third parties asserting an ownership right in our owned or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24"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b w:val="1"/>
          <w:bCs w:val="1"/>
          <w:i w:val="1"/>
          <w:iCs w:val="1"/>
          <w:color w:val="auto"/>
        </w:rPr>
        <w:t>We currently rely on a license from a third party, and in the future may rely on additional licenses from other third parties, in relation to our Proteograph Product Suite and if we lose any of these licenses, then we may be subjected to future litigation.</w:t>
      </w:r>
    </w:p>
    <w:p>
      <w:pPr>
        <w:spacing w:after="0" w:line="9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and may in the future become, a party to license agreements that grant us rights to use certain intellectual property, including patents and patent applications, typically in certain specified fields of use. Currently, we rely on an in-license from The Brigham and Women’s Hospital, Inc. (BWH), for patents relating to methods of using nanoparticles to measure the proteome, including the methods used in our Proteograph Product Suite and may in the future rely on licenses from other third parties with respect to our Proteograph Product Suite or other technology. Our rights to use licensed technology in our business are subject to the continuation of and compliance with the terms of this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Proteograph Product Suite. We may need to obtain additional licenses from others to advance our research, development and commercialization activities. For instance, under our license agreement with BWH, we currently in-license two patent families, one of which includes the methods used in our Proteograph Product Suite, and to the extent any additional intellectual property developed by BWH that are not included in such licensed patent families are necessary or useful for our Proteograph Product Suite, we would need to negotiate for additional licenses to such additional intellectual property. Such licenses may not be available on commercially reasonable terms or at all, or may be non-exclusive.</w:t>
      </w:r>
    </w:p>
    <w:p>
      <w:pPr>
        <w:spacing w:after="0" w:line="1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124" w:lineRule="exact"/>
        <w:rPr>
          <w:sz w:val="20"/>
          <w:szCs w:val="20"/>
          <w:color w:val="auto"/>
        </w:rPr>
      </w:pPr>
    </w:p>
    <w:p>
      <w:pPr>
        <w:jc w:val="both"/>
        <w:ind w:right="620" w:firstLine="324"/>
        <w:spacing w:after="0" w:line="279" w:lineRule="auto"/>
        <w:rPr>
          <w:sz w:val="20"/>
          <w:szCs w:val="20"/>
          <w:color w:val="auto"/>
        </w:rPr>
      </w:pPr>
      <w:r>
        <w:rPr>
          <w:rFonts w:ascii="Arial" w:cs="Arial" w:eastAsia="Arial" w:hAnsi="Arial"/>
          <w:sz w:val="17"/>
          <w:szCs w:val="17"/>
          <w:color w:val="auto"/>
        </w:rPr>
        <w:t>Our current license agreement imposes, and future agreements may impose, various diligence, commercialization, milestone payment, royalty, insurance and other obligations on us and require us to meet development timelines, or to exercise commercially reasonable efforts to develop and commercialize licensed products, in order to maintain the licenses. If we fail to comply with these obligations, our licensor(s) may have the right to terminate our license, in which event we would not be able to develop or market products or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covered by the licensed intellectual property. Any of the foregoing could have a material adverse effect on our competitive position, business, financial conditions, results of operations and prospects.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Moreover, disputes may also arise between us and our licensor regarding intellectual property subject to a license agreement, including:</w:t>
      </w:r>
    </w:p>
    <w:p>
      <w:pPr>
        <w:spacing w:after="0" w:line="17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financial or other obligations under the license agreement;</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and the extent to which, our products, technology and processes infringe on intellectual property of the licensor that is not subject to the licensing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inventorship and ownership of inventions and know-how resulting from the joint creation or use of intellectual property by our licensor(s);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7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12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1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Proteograph Product Suite, which could adversely affect our ability to offer products or services, our ability to continue operations and our business, financial condition, results of operations and prospects.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8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our Proteograph Product Suite.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commercialization capabilities. In addition, companies that perceive us to be a competitor may be unwilling to assign or license rights to us.</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4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13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provide the U.S. government to, at any time, take title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2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Our products contain third-party open source software components and failure to comply with the terms of the underlying open source software licenses could restrict our ability to sell our products and provide third parties access to our proprietary software.</w:t>
      </w:r>
    </w:p>
    <w:p>
      <w:pPr>
        <w:spacing w:after="0" w:line="92"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Our products contain software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1440" w:right="359" w:bottom="1440" w:gutter="0" w:footer="0" w:header="0"/>
        </w:sectPr>
      </w:pPr>
    </w:p>
    <w:bookmarkStart w:id="73" w:name="page74"/>
    <w:bookmarkEnd w:id="73"/>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public availability of such software may make it easier for hackers and other third parties to compromise or attempt to compromise our technology platform and systems.</w:t>
      </w:r>
    </w:p>
    <w:p>
      <w:pPr>
        <w:spacing w:after="0" w:line="116"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6" w:lineRule="exact"/>
        <w:rPr>
          <w:sz w:val="20"/>
          <w:szCs w:val="20"/>
          <w:color w:val="auto"/>
        </w:rPr>
      </w:pPr>
    </w:p>
    <w:p>
      <w:pPr>
        <w:ind w:left="660" w:right="5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116"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make the inventions covered by the issued patent or pending patent application that we license or may own in the future;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covering certain of our or their inventions;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possible that our pending licensed patent applications or those that we may own in the future will not lead to issued patents;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82" w:lineRule="exact"/>
        <w:rPr>
          <w:rFonts w:ascii="Arial" w:cs="Arial" w:eastAsia="Arial" w:hAnsi="Arial"/>
          <w:sz w:val="17"/>
          <w:szCs w:val="17"/>
          <w:color w:val="auto"/>
        </w:rPr>
      </w:pPr>
    </w:p>
    <w:p>
      <w:pPr>
        <w:ind w:left="660" w:right="20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71" w:lineRule="exact"/>
        <w:rPr>
          <w:rFonts w:ascii="Arial" w:cs="Arial" w:eastAsia="Arial" w:hAnsi="Arial"/>
          <w:sz w:val="18"/>
          <w:szCs w:val="18"/>
          <w:color w:val="auto"/>
        </w:rPr>
      </w:pPr>
    </w:p>
    <w:p>
      <w:pPr>
        <w:ind w:left="660" w:right="84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Should any of these events occur, they could materially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not be sustained.</w:t>
      </w:r>
    </w:p>
    <w:p>
      <w:pPr>
        <w:spacing w:after="0" w:line="171" w:lineRule="exact"/>
        <w:rPr>
          <w:sz w:val="20"/>
          <w:szCs w:val="20"/>
          <w:color w:val="auto"/>
        </w:rPr>
      </w:pPr>
    </w:p>
    <w:p>
      <w:pPr>
        <w:jc w:val="both"/>
        <w:ind w:right="40" w:firstLine="324"/>
        <w:spacing w:after="0" w:line="301" w:lineRule="auto"/>
        <w:rPr>
          <w:sz w:val="20"/>
          <w:szCs w:val="20"/>
          <w:color w:val="auto"/>
        </w:rPr>
      </w:pPr>
      <w:r>
        <w:rPr>
          <w:rFonts w:ascii="Arial" w:cs="Arial" w:eastAsia="Arial" w:hAnsi="Arial"/>
          <w:sz w:val="16"/>
          <w:szCs w:val="16"/>
          <w:color w:val="auto"/>
        </w:rPr>
        <w:t>Although our Class A common stock is traded on the Nasdaq Global Select Market under the symbol “SEER,” there is a very limited trading history and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Class A common stock may be volatile.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Some of the factors that may cause the market price of our Class A common stock to fluctuate include, but are not limited to:</w:t>
      </w:r>
    </w:p>
    <w:p>
      <w:pPr>
        <w:spacing w:after="0" w:line="171" w:lineRule="exact"/>
        <w:rPr>
          <w:sz w:val="20"/>
          <w:szCs w:val="20"/>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our launch and commercialization of our products and degree to which such launch and commercialization meets the expectations of securities analysts and investors;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volatility and variations in market conditions in the life sciences technology sector generally, or the proteomics or genomics sectors specifically;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171"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sales of our Class A common stock by us or sales of our Class A common stock or Class B common stock by our insiders or other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320" w:top="1440" w:right="399" w:bottom="1440" w:gutter="0" w:footer="0" w:header="0"/>
        </w:sectPr>
      </w:pPr>
    </w:p>
    <w:bookmarkStart w:id="75" w:name="page76"/>
    <w:bookmarkEnd w:id="75"/>
    <w:p>
      <w:pPr>
        <w:spacing w:after="0" w:line="14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Class A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4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multi-class structure of our common stock will have the effect of concentrating voting control with certain stockholders and it may depress the trading price of our Class A common stock.</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Class A common stock, which is our publicly-traded class of stock, has one vote per share, and our Class B common stock has ten votes per share, except as otherwise required by law. Our Class B common stock is held by our founders and early investors. Following our February 2021 public offering, the holders of our Class B common stock hold in the aggregate 45.7% of the voting power of our capital stock.</w:t>
      </w:r>
    </w:p>
    <w:p>
      <w:pPr>
        <w:spacing w:after="0" w:line="13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8, 2025. The conversion of Class B common stock to Class A common stock will have the effect, over time, of increasing the relative voting power of those individual holders of Class B common stock who retain their shares over the long term.</w:t>
      </w:r>
    </w:p>
    <w:p>
      <w:pPr>
        <w:spacing w:after="0" w:line="112"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addition, FTSE Russell and Standard &amp; Poor’s no longer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multi-class capital structure would make us ineligible for inclusion in any of these indices, and as a result, mutual funds, exchange-traded funds and other investment vehicles that attempt to passively track these indices will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Class A common stock, the price of our Class A common stock could decline.</w:t>
      </w:r>
    </w:p>
    <w:p>
      <w:pPr>
        <w:spacing w:after="0" w:line="116"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1440" w:right="359" w:bottom="1440" w:gutter="0" w:footer="0" w:header="0"/>
        </w:sectPr>
      </w:pPr>
    </w:p>
    <w:bookmarkStart w:id="76" w:name="page77"/>
    <w:bookmarkEnd w:id="76"/>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Class A common stock by our existing stockholders could cause the price of our Class A common stock to decline.</w:t>
      </w:r>
    </w:p>
    <w:p>
      <w:pPr>
        <w:spacing w:after="0" w:line="116"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Sales of a substantial number of shares of our Class A common stock in the public market could occur at any time following the expiration of the market standoff and lock-up agreements or the early release of these agreements or the perception in the market that the holders of a large number of shares of Class A common stock intend to sell shares and could reduce the market price of our Class A common stock.</w:t>
      </w:r>
    </w:p>
    <w:p>
      <w:pPr>
        <w:spacing w:after="0" w:line="11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addition to the existing lock-up agreements that were executed in connection with our initial public offering, the selling stockholders in our February 2021 public offering who sold up to 5% of their existing holdings have entered into lock-up agreements on substantially similar terms, which expire July 26, 2021, and the selling stockholders who sold greater than 5% and up to 20.8% of their existing holdings in our February 2021 public offering have entered into lock-up agreements on substantially similar terms, which expire January 27, 2022. Additionally stockholders were given the opportunity to have a portion of their stockholdings released from the lock-up agreements entered into in connection with our initial public offering if they agreed to the same additional terms as the selling stockholders in our February 2021 public offering.</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As a result, following our February 2021 public offering, 45,953,870 shares of Class A common stock and all shares of our Class B common stock (and any share of Class A common stock into which they are converted) are currently prohibited or otherwise restricted from being sold in the public market under securities laws, lock-up agreements entered into with the underwriters in connection with our initial public offering and our February 2021 public offering, market standoff agreements entered into by our stockholders with us, or lock-up agreements entered into by our stockholders; however, subject to applicable securities law restrictions and the new lock-up agreements referred to above, and excluding shares of Class A common stock issued pursuant to the early exercise of unvested stock options that will remain unvested, the shares of our Class A common stock outstanding at the time of our initial public offering will be able to be sold in the public market beginning on June 2, 2021. The representatives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2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as a result, any return on investment may be limited to the value of our stock.</w:t>
      </w:r>
    </w:p>
    <w:p>
      <w:pPr>
        <w:spacing w:after="0" w:line="11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2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17"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1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13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27" w:lineRule="exact"/>
        <w:rPr>
          <w:sz w:val="20"/>
          <w:szCs w:val="20"/>
          <w:color w:val="auto"/>
        </w:rPr>
      </w:pPr>
    </w:p>
    <w:p>
      <w:pPr>
        <w:jc w:val="both"/>
        <w:ind w:right="260"/>
        <w:spacing w:after="0" w:line="381" w:lineRule="auto"/>
        <w:rPr>
          <w:sz w:val="20"/>
          <w:szCs w:val="20"/>
          <w:color w:val="auto"/>
        </w:rPr>
      </w:pPr>
      <w:r>
        <w:rPr>
          <w:rFonts w:ascii="Arial" w:cs="Arial" w:eastAsia="Arial" w:hAnsi="Arial"/>
          <w:sz w:val="15"/>
          <w:szCs w:val="15"/>
          <w:b w:val="1"/>
          <w:bCs w:val="1"/>
          <w:i w:val="1"/>
          <w:iCs w:val="1"/>
          <w:color w:val="auto"/>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p>
    <w:p>
      <w:pPr>
        <w:spacing w:after="0" w:line="46"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03" w:lineRule="exact"/>
        <w:rPr>
          <w:sz w:val="20"/>
          <w:szCs w:val="20"/>
          <w:color w:val="auto"/>
        </w:rPr>
      </w:pPr>
    </w:p>
    <w:p>
      <w:pPr>
        <w:ind w:left="660" w:right="20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transaction that would result in a change in control of our company requires the approval of a majority of our outstanding Class B common stock voting as a separate class;</w:t>
      </w:r>
    </w:p>
    <w:p>
      <w:pPr>
        <w:spacing w:after="0" w:line="116"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129" w:lineRule="exact"/>
        <w:rPr>
          <w:rFonts w:ascii="Arial" w:cs="Arial" w:eastAsia="Arial" w:hAnsi="Arial"/>
          <w:sz w:val="18"/>
          <w:szCs w:val="18"/>
          <w:color w:val="auto"/>
        </w:rPr>
      </w:pPr>
    </w:p>
    <w:p>
      <w:pPr>
        <w:ind w:left="660" w:right="300" w:hanging="328"/>
        <w:spacing w:after="0" w:line="342"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board of directors is classified into three classes of directors with staggered three-year terms and directors will only be able to be removed from office for cause by the affirmative vote of holders of at least two-thirds of the voting power of our then outstanding capital stock;</w:t>
      </w:r>
    </w:p>
    <w:p>
      <w:pPr>
        <w:spacing w:after="0" w:line="69" w:lineRule="exact"/>
        <w:rPr>
          <w:rFonts w:ascii="Arial" w:cs="Arial" w:eastAsia="Arial" w:hAnsi="Arial"/>
          <w:sz w:val="16"/>
          <w:szCs w:val="16"/>
          <w:color w:val="auto"/>
        </w:rPr>
      </w:pPr>
    </w:p>
    <w:p>
      <w:pPr>
        <w:ind w:left="660" w:right="4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 require the approval of stockholders holding two-thirds of the voting power of our then outstanding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60"/>
          </w:cols>
          <w:pgMar w:left="320" w:top="1440" w:right="419" w:bottom="1440" w:gutter="0" w:footer="0" w:header="0"/>
        </w:sectPr>
      </w:pPr>
    </w:p>
    <w:bookmarkStart w:id="78" w:name="page79"/>
    <w:bookmarkEnd w:id="78"/>
    <w:p>
      <w:pPr>
        <w:spacing w:after="0" w:line="144" w:lineRule="exact"/>
        <w:rPr>
          <w:sz w:val="20"/>
          <w:szCs w:val="20"/>
          <w:color w:val="auto"/>
        </w:rPr>
      </w:pPr>
    </w:p>
    <w:p>
      <w:pPr>
        <w:ind w:left="660" w:right="20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stockholder-proposed amendment to our amended and restated bylaws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stockholders may only be able to take action at a meeting of stockholders and may not be able to take action by written consent for any matter;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stockholders are be able to act by written consent only if the action is first recommended or approved by the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vacancies on our board of directors may be filled only by our board of directors and not by stockholders;</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only the chair of the board of directors, chief executive officer or a majority of the board of directors are authorized to call a special meeting of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restated certificate of incorporation authorizes undesignated preferred stock, the terms of which may be established and shares of which may be issued, without the approval of the holders of our capital stock; and</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of December 31, 2020 and 2019, we had U.S. federal and state net operating loss carryforwards (NOLs) of $9.2 million and $35.1 million, respectively, which if not utilized will expire in 2031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1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Class A common stock less attractive to investors.</w:t>
      </w:r>
    </w:p>
    <w:p>
      <w:pPr>
        <w:spacing w:after="0" w:line="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440" w:right="359" w:bottom="1440" w:gutter="0" w:footer="0" w:header="0"/>
        </w:sectPr>
      </w:pPr>
    </w:p>
    <w:bookmarkStart w:id="79" w:name="page80"/>
    <w:bookmarkEnd w:id="79"/>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These exemptions include not being required to comply with the auditor attestation requirements of Section 404 of the SOX, not being required to comply with any requirement that may be adopted by the Public Company Accounting Oversight Board regarding mandatory audit firm rotation or a supplement to the auditor’s report providing additional information about the audit and the consolidated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 related information that would be required if we were not an emerging growth company. To the extent that we continue to qualify as a “smaller reporting company,” as such term is defined in Rule 12b-2 under the Securities Exchange Act of 1934, after we cease to qualify as an emerging growth company, we will continue to be permitted to make certain reduced disclosures in our periodic reports and other documents that we file with the SEC. We cannot predict whether investors will find our Class A common stock less attractive if we rely on these exemptions. If some investors find our Class A common stock less attractive as a result, there may be a less active trading market for our Class A common stock and our stock price may be more volatile.</w:t>
      </w:r>
    </w:p>
    <w:p>
      <w:pPr>
        <w:spacing w:after="0" w:line="11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consolidated financial statements may not be comparable to companies that comply with new or revised accounting pronouncements as of public company effective dates.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incur significant increased costs and management resources as a result of operating as a public company.</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As a public company, we continue to incur significant legal, accounting, compliance and other expenses that we did not incur as a private company and these expenses may increase even more after we are no longer an “emerging growth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spacing w:after="0" w:line="10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SOX, and the related rules and regulations implemented by the SEC and the Nasdaq Stock Market, LLC, or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75" w:lineRule="exact"/>
        <w:rPr>
          <w:sz w:val="20"/>
          <w:szCs w:val="20"/>
          <w:color w:val="auto"/>
        </w:rPr>
      </w:pPr>
    </w:p>
    <w:p>
      <w:pPr>
        <w:jc w:val="both"/>
        <w:ind w:right="980"/>
        <w:spacing w:after="0" w:line="381" w:lineRule="auto"/>
        <w:rPr>
          <w:sz w:val="20"/>
          <w:szCs w:val="20"/>
          <w:color w:val="auto"/>
        </w:rPr>
      </w:pPr>
      <w:r>
        <w:rPr>
          <w:rFonts w:ascii="Arial" w:cs="Arial" w:eastAsia="Arial" w:hAnsi="Arial"/>
          <w:sz w:val="15"/>
          <w:szCs w:val="15"/>
          <w:b w:val="1"/>
          <w:bCs w:val="1"/>
          <w:i w:val="1"/>
          <w:iCs w:val="1"/>
          <w:color w:val="auto"/>
        </w:rPr>
        <w:t>If our facilities or our third-party manufacturers’ facilities become unavailable or inoperable, our research and development program and commercialization launch plan could be adversely impacted and manufacturing of our instruments and consumables could be interrupted.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44"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Our Redwood City, California, facilities house our corporate, research and development and quality assurance teams. Our instruments are manufactured at our third-party manufacturer’s facilities in Nevada, and our consumables are manufactured at various locations in the United States and internationally.</w:t>
      </w:r>
    </w:p>
    <w:p>
      <w:pPr>
        <w:spacing w:after="0" w:line="130"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Our facilities in Redwood City and those of our third-party manufacturers are vulnerable to natural disasters, public health crises, including the impact of the COVID-19 pandemic, and catastrophic events. For example, our Redwood City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1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If our research and development program or commercialization program were disrupted by a disaster or catastrophe, the launch of new products, including our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206"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4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12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11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While we currently maintain cybersecurity insurance,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1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3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33"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1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32"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judgments, all of which could have a material adverse effect on our business, financial condition, results of operations and prospects.</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0139"/>
          </w:cols>
          <w:pgMar w:left="320" w:top="1440" w:right="1440" w:bottom="1440" w:gutter="0" w:footer="0" w:header="0"/>
          <w:type w:val="continuous"/>
        </w:sectPr>
      </w:pPr>
    </w:p>
    <w:bookmarkStart w:id="84" w:name="page85"/>
    <w:bookmarkEnd w:id="8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Our corporate headquarters, research and development facilities, and manufacturing and distribution centers are located at 3800 Bridge Parkway, Redwood City, CA 94065. The facility is approximately 25,600 square feet and is compliant with all relevant state and federal requirements. Our lease on this facility runs through February 2032. We do not own any real property and believe that our current facilities are sufficient to meet our ongoing needs and that, if we require additional space, we will be able to obtain additional facilities on commercially reasonable terms.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320" w:top="1440" w:right="499" w:bottom="1440" w:gutter="0" w:footer="0" w:header="0"/>
        </w:sectPr>
      </w:pPr>
    </w:p>
    <w:bookmarkStart w:id="85" w:name="page86"/>
    <w:bookmarkEnd w:id="85"/>
    <w:p>
      <w:pPr>
        <w:spacing w:after="0" w:line="14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Class A common stock has been listed on the Nasdaq Global Select Market under the symbol “SEER” since December 4, 2020. Prior to that date, there was no public trading market for our Class A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As of March 15, 2021, there were 126 holders of record of our Class A common stock and 16 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January 1, 2018, we have issued the following unregistered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Issuances of Convertible Preferred Stock</w:t>
      </w:r>
    </w:p>
    <w:p>
      <w:pPr>
        <w:spacing w:after="0" w:line="171" w:lineRule="exact"/>
        <w:rPr>
          <w:sz w:val="20"/>
          <w:szCs w:val="20"/>
          <w:color w:val="auto"/>
        </w:rPr>
      </w:pPr>
    </w:p>
    <w:p>
      <w:pPr>
        <w:ind w:left="660" w:right="1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March 23, 2018, we sold 7,906,757 shares of Series B convertible preferred stock to eleven accredited investors at a price of $3.80 per share, for aggregate proceeds of approximately $30,000,000.</w:t>
      </w:r>
    </w:p>
    <w:p>
      <w:pPr>
        <w:spacing w:after="0" w:line="116" w:lineRule="exact"/>
        <w:rPr>
          <w:rFonts w:ascii="Arial" w:cs="Arial" w:eastAsia="Arial" w:hAnsi="Arial"/>
          <w:sz w:val="18"/>
          <w:szCs w:val="18"/>
          <w:color w:val="auto"/>
        </w:rPr>
      </w:pPr>
    </w:p>
    <w:p>
      <w:pPr>
        <w:ind w:left="660" w:right="460" w:hanging="328"/>
        <w:spacing w:after="0" w:line="308" w:lineRule="auto"/>
        <w:tabs>
          <w:tab w:leader="none" w:pos="6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March 7, 2019 and April 12, 2019, we sold 1,869,154 and 1,401,869 shares of Series C convertible preferred stock, respectively, to eight accredited investors at a price of $5.35 per share, for total aggregate proceeds of approximately $17,500,000.</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May 7, 2019, we issued convertible promissory notes in the aggregate principal amount of $400,000 to two accredited investors.</w:t>
      </w:r>
    </w:p>
    <w:p>
      <w:pPr>
        <w:spacing w:after="0" w:line="171"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November 15, 2019 and December 13, 2019, we sold 7,120,588 and 787,380 shares of Series D convertible preferred stock, respectively, to 18 accredited investors at a price of $6.96 per share, for total aggregate proceeds of approximately $55,000,000, which consideration included $400,000 in cancellation of indebtedness.</w:t>
      </w:r>
    </w:p>
    <w:p>
      <w:pPr>
        <w:spacing w:after="0" w:line="129"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May 12, 2020, we sold 6,853,571 shares of Series D-1 convertible preferred stock to 21 accredited investors at a price of $8.03 per share, for aggregate proceeds of approximately $55,000,000.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 RSU and Common Stock Issuances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September 1, 2017, we have issued the following unregistered securities:</w:t>
      </w:r>
    </w:p>
    <w:p>
      <w:pPr>
        <w:spacing w:after="0" w:line="171" w:lineRule="exact"/>
        <w:rPr>
          <w:sz w:val="20"/>
          <w:szCs w:val="20"/>
          <w:color w:val="auto"/>
        </w:rPr>
      </w:pPr>
    </w:p>
    <w:p>
      <w:pPr>
        <w:ind w:left="660" w:right="40" w:hanging="328"/>
        <w:spacing w:after="0" w:line="26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From September 20, 2017 to January 14, 2021, we granted to our directors, officers, employees, consultants and other service providers options to purchase an aggregate of 10,781,124 shares of our Class A common stock under our equity compensation plans, at exercise prices ranging from approximately $0.02 to $7.96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1440" w:right="359" w:bottom="1440" w:gutter="0" w:footer="0" w:header="0"/>
        </w:sectPr>
      </w:pPr>
    </w:p>
    <w:bookmarkStart w:id="86" w:name="page87"/>
    <w:bookmarkEnd w:id="86"/>
    <w:p>
      <w:pPr>
        <w:spacing w:after="0" w:line="144" w:lineRule="exact"/>
        <w:rPr>
          <w:sz w:val="20"/>
          <w:szCs w:val="20"/>
          <w:color w:val="auto"/>
        </w:rPr>
      </w:pPr>
    </w:p>
    <w:p>
      <w:pPr>
        <w:ind w:left="660" w:right="60" w:hanging="328"/>
        <w:spacing w:after="0" w:line="286" w:lineRule="auto"/>
        <w:tabs>
          <w:tab w:leader="none" w:pos="6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From September 20, 2017 to January 14, 2021 we issued and sold to our officers, directors, employees, consultants and other service providers an aggregate of 1,705,151 shares of our Class A common stock upon the exercise of options under our equity compensation plans at exercise prices ranging from $0.00002 to $3.47 per share, for a weighted-average exercise price of $0.77 per share.</w:t>
      </w:r>
    </w:p>
    <w:p>
      <w:pPr>
        <w:spacing w:after="0" w:line="111" w:lineRule="exact"/>
        <w:rPr>
          <w:rFonts w:ascii="Arial" w:cs="Arial" w:eastAsia="Arial" w:hAnsi="Arial"/>
          <w:sz w:val="17"/>
          <w:szCs w:val="17"/>
          <w:color w:val="auto"/>
        </w:rPr>
      </w:pPr>
    </w:p>
    <w:p>
      <w:pPr>
        <w:jc w:val="both"/>
        <w:ind w:left="660" w:right="100" w:hanging="328"/>
        <w:spacing w:after="0" w:line="26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From September 20, 2017 to February 26, 2018, we issued and sold to our officers, directors, employees, consultants and other service providers an aggregate of 2,013,187 shares of our Class A common stock under our equity compensation plans at exercise prices ranging from $0.00002 to $0.03 per share.</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From April 1, 2020 to November 12, 2020, we granted to our directors, officers, employees, consultants and other service providers an aggregate of 381,922 RSUs to be settled in shares of our Class A common stock under our equity compensation plans.</w:t>
      </w:r>
    </w:p>
    <w:p>
      <w:pPr>
        <w:spacing w:after="0" w:line="116" w:lineRule="exact"/>
        <w:rPr>
          <w:rFonts w:ascii="Arial" w:cs="Arial" w:eastAsia="Arial" w:hAnsi="Arial"/>
          <w:sz w:val="18"/>
          <w:szCs w:val="18"/>
          <w:color w:val="auto"/>
        </w:rPr>
      </w:pPr>
    </w:p>
    <w:p>
      <w:pPr>
        <w:ind w:left="660" w:hanging="328"/>
        <w:spacing w:after="0" w:line="293" w:lineRule="auto"/>
        <w:tabs>
          <w:tab w:leader="none" w:pos="6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December 9, 2020, each of Fidelity Management &amp; Research Company LLC, accounts advised by T. Rowe Price Associates, Inc. and aMoon Fund purchased from us in a private placement shares of our Class A common stock at a price per share equal to the initial public offering price of $19.00 per share (the Concurrent Private Placement). Each of Fidelity Management &amp; Research Company LLC and certain funds and accounts advised by T. Rowe Price Associates, Inc. each purchased 2,105,263 shares of our Class A common stock and aMoon Fund purchased 789,473 shares of our Class A common stock. We paid J.P. Morgan Securities LLC, Morgan Stanley &amp; Co. LLC, BofA Securities Inc. and Cowen and Company, LLC an aggregate commission of $4.725 million with respect to the shares that are sold in the Concurrent Private Placement.</w:t>
      </w:r>
    </w:p>
    <w:p>
      <w:pPr>
        <w:spacing w:after="0" w:line="11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With the exception of the Concurrent Private Placement, none of the foregoing transactions involved any underwriters, underwriting discounts or commissions, or any public offering. Except as set forth below, 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Public Offering of Common Stock</w:t>
      </w:r>
    </w:p>
    <w:p>
      <w:pPr>
        <w:spacing w:after="0" w:line="17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On December 8, 2020, we closed our initial public offering, or IPO, of 10,592,106 shares of common stock (inclusive of 1,381,579 shares of common stock from the full exercise of the overallotment option of shares granted to the underwriters). The offer and sale of all of the shares in the initial public offering were registered under the Securities Act pursuant to a registration statement on Form S-1 (File Nos. 333-250035 and 333-251116), which was declared effective by the SEC on December 3, 2020. J.P. Morgan Securities LLC, Morgan Stanley &amp; Co. LLC, BofA Securities, Inc. and Cowen and Company, LLC acted as the underwriters. The public offering price of the shares sold in the offering was $19.00 per share. The total gross proceeds from the offering were $201.3 million.</w:t>
      </w:r>
    </w:p>
    <w:p>
      <w:pPr>
        <w:spacing w:after="0" w:line="13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After deducting underwriting discounts and commissions of $14.1 million and offering expenses paid or payable by us of approximately $3.3 million, the net proceeds from the offering were approximately $183.9 million.</w:t>
      </w:r>
    </w:p>
    <w:p>
      <w:pPr>
        <w:spacing w:after="0" w:line="11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IPO prospectus filed with the SEC on December 4, 2020 pursuant to rule 424(b) of the Securities Act. We invested the funds received in short-term and long-term, interest-bearing investment-grade securities and government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320" w:top="1440" w:right="379" w:bottom="1440" w:gutter="0" w:footer="0" w:header="0"/>
        </w:sectPr>
      </w:pPr>
    </w:p>
    <w:bookmarkStart w:id="87" w:name="page88"/>
    <w:bookmarkEnd w:id="8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section titled “Selected Financial Data” and our audited consolidated financial statements and related notes included elsewhere in this Annual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solution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Product Suite has the potential to enable researchers to perform proteomics studies at scale, similar to the manner in which next generation sequencing (NGS) technologies have transformed genomics.</w:t>
      </w:r>
    </w:p>
    <w:p>
      <w:pPr>
        <w:spacing w:after="0" w:line="12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Since we were incorporated in 2017, we have devoted substantially all of our resources to research and development activities, including with respect to our Proteograph Product Suite, establishing and maintaining our intellectual property portfolio, hiring personnel, raising capital, building our commercial infrastructure and providing general and administrative support for these activities.</w:t>
      </w:r>
    </w:p>
    <w:p>
      <w:pPr>
        <w:spacing w:after="0" w:line="13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Our revenue to date has been nominal and generated from research collaborations and grant-funded activities. Our initial product, the Proteograph Product Suite, has not yet been broadly commercialized, and we have not generated any revenue from product sales to date. Our ability to generate product revenue sufficient to achieve profitability, if ever, will depend on the successful commercialization of our Proteograph Product Suite.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During the second phase, early access limited release, of which we are in the early stages of commencing, we plan to sell our Proteograph Product Suite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w:t>
      </w:r>
    </w:p>
    <w:p>
      <w:pPr>
        <w:spacing w:after="0" w:line="11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intend to commercialize our Proteograph Product Suite as an integrated solution comprising consumables, an automation instrument and software. Our commercial strategy will focus on growing adoption by the research community of our Proteograph, expanding the installed base and increasing utilization to generate revenue from the purchase of our Proteograph consumables. We expect a highly efficient sales model since our Proteograph solution does not have a large capital expenditure component and our SP100 automation instrument integrates with most existing proteomics laboratories’ workflows and also complements large-scale genomics research.</w:t>
      </w:r>
    </w:p>
    <w:p>
      <w:pPr>
        <w:spacing w:after="0" w:line="13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intend to commercialize our Proteograph Product Suite through a direct sales channel in the United States, and through both direct and distributor sales channels in regions outside the United States. Given our stage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development, we currently have limited sales and marketing and no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Proteograph.</w:t>
      </w:r>
    </w:p>
    <w:p>
      <w:pPr>
        <w:spacing w:after="0" w:line="13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leverage well-established unit operations to formulate and manufacture our NPs at our facilities in Redwood City, California. We procure some of our consumables, including components of our NPs, from third-party manufacturers, which includes the commonly-available raw materials needed for manufacturing our proprietary engineered NPs. We are currently manufacturing using our pilot line and building out our manufacturing capabilities as we ramp towards broad commercial availability. We obtain some of the reagents and components used in our Proteograph workflow from third-party suppliers. While some of these reagents and components are sourced from a single supplier, these products are readily available from numerous suppliers. While we currently plan to handle filling and packaging of our Proteograph assay and the related consumables, in the future, we may have our filling and packaging outsourced to a third-party. We conduct vendor and component qualification for components provided by third-party suppliers and quality control tests on all of our NPs. We will need to substantially expand our NP manufacturing capabilities to enable the successful commercialization of our Proteograph Product Suite.</w:t>
      </w:r>
    </w:p>
    <w:p>
      <w:pPr>
        <w:spacing w:after="0" w:line="14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We have designed our SP100 automation instrument and have outsourced the manufacturing of our Proteograph automation instrument to Hamilton Company, a leading manufacturer of automated liquid handling workstations. We have entered into a non-exclusive agreement with Hamilton that covers the manufacturing of our SP100 automation instrument and its continued supply on a purchase order basis. The agreement has an initial term that runs three years following our commercial launch. Pricing for the supply of our SP100 automation instrument is on a fixed schedule during the initial term of the agreement, with tiered pricing dependent upon the number of units purchased in a twelve-month period.</w:t>
      </w:r>
    </w:p>
    <w:p>
      <w:pPr>
        <w:spacing w:after="0" w:line="12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December 8, 2020, we completed our IPO, in which we sold 10,592,106 shares of Class A common stock, including 1,381,579 shares of Class A common stock that were offered and sold pursuant to the full exercise of the underwriters’ option to purchase additional shares, at a price to the public of $19.00 per share. Including the option exercise, we received net proceeds of $183.9 million after deducting offering costs, underwriting discounts and commissions of $17.4 million. Concurrent with the IPO, we issued 7,105,262 shares of our common stock in a private placement for net proceeds of $130.3 million after deducting underwriting discounts and commissions of $4.7 million. On February 1, 2021, we completed an underwritten public offering of 1,650,000 shares of our Class A common stock at a public offering price of $67.00 per share. We received net proceeds of $103.1 million after deducting offering costs, underwriting discounts and commissions of $7.5 million.</w:t>
      </w:r>
    </w:p>
    <w:p>
      <w:pPr>
        <w:spacing w:after="0" w:line="12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Since our incorporation, we have incurred significant losses and negative cash flows from operations. During the years ended December 31, 2020 and 2019, we incurred a net loss of $32.8 million and $16.0 million and used $20.8 million and $13.1 million of cash in operations, respectively. As of December 31, 2020, we had an accumulated deficit of $55.4 million and cash, cash equivalents, and investments of $431.9 million, which do not include net proceeds from our public offering completed on February 1, 2021. We expect to continue to incur significant and increasing losses and do not expect positive cash flows from operations for the foreseeable future, and our net losses may fluctuate significantly from period to period, depending on the timing of and expenditures on our planned commercialization and research and development activities.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our expenses to increase significantly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continue to develop and commercialize our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 sales, marketing, service, support and distribution infrastructure in advance of commercialization;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build-out and expand our in-house NP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continue to engage in research and development of other products and enhancements to our Proteograph;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44"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build the infrastructure to operate as a public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PrognomIQ</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August 2020, we transferred certain assets related to disease testing to PrognomIQ, Inc. (PrognomIQ), a new wholly-owned subsidiary, in exchange for all of its outstanding equity interests. Following the transfer, we completed a pro-rata distribution to our stockholders of most of the shares of capital stock of PrognomIQ. Following the distribution and a subsequent $55.0 million equity financing of PrognomIQ, we hold approximately 19% of the outstanding capital stock in PrognomIQ.</w:t>
      </w:r>
    </w:p>
    <w:p>
      <w:pPr>
        <w:spacing w:after="0" w:line="133"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our Proteograph Product Suite to any customer in any geography, nor does it preclude our customers from using our Proteograph in any way. PrognomIQ has indicated that it plans to combine the protein data from our Proteograph solution with genomics and other -omics data, to create a multi-omics approach to health and disease testing. We believe PrognomIQ’s use of proteomics and the potential for other similar companies which use proteomics in their research and products will help us drive the adoption of our Proteograph Product Suite in these applications.</w:t>
      </w:r>
    </w:p>
    <w:p>
      <w:pPr>
        <w:spacing w:after="0" w:line="11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Omid Farokhzad, Chief Executive Officer and Chair of our board of directors, serves as the Chair of PrognomIQ’s board of directors. Philip Ma, Ph.D. our former Chief Business Officer serves as the Chief Executive Officer of PrognomIQ. While Dr. Ma has fully transitioned to PrognomIQ, he will remain our consultant until April 2021. In addition, three of our other employees have also transitioned to PrognomIQ. We will be providing general transition services and support, including laboratory and office space to PrognomIQ during the transition period. We anticipate these services to continue through the first half of 2021.</w:t>
      </w:r>
    </w:p>
    <w:p>
      <w:pPr>
        <w:spacing w:after="0" w:line="134"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 xml:space="preserve">We granted PrognomIQ a non-exclusive license to certain patents and patent applications that we own and a non-exclusive sublicense to certain patent applications we exclusively licensed from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For further discussion of our license and sublicense arrangement with PrognomIQ, see the section titled “Business — Collaboration and License Agreements — </w:t>
      </w:r>
      <w:r>
        <w:rPr>
          <w:rFonts w:ascii="Arial" w:cs="Arial" w:eastAsia="Arial" w:hAnsi="Arial"/>
          <w:sz w:val="17"/>
          <w:szCs w:val="17"/>
          <w:i w:val="1"/>
          <w:iCs w:val="1"/>
          <w:color w:val="auto"/>
        </w:rPr>
        <w:t>PrognomIQ</w:t>
      </w:r>
      <w:r>
        <w:rPr>
          <w:rFonts w:ascii="Arial" w:cs="Arial" w:eastAsia="Arial" w:hAnsi="Arial"/>
          <w:sz w:val="17"/>
          <w:szCs w:val="17"/>
          <w:color w:val="auto"/>
        </w:rPr>
        <w:t>.” We do not view these amounts to be material to our financial condition and results of operations nor do we expect these amounts to ever be material to us in the future.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a result of the COVID-19 pandemic, we could experience disruptions that could severely impact our business. For example, we have experienced longer lead times from Hamilton for orders of our SP100 automation instruments and may experience delays and longer lead times from our other suppliers of critical hardware, instrumentation and consumables used for product development and manufacturing operations. Pandemic precautions and preventative measures may also impact our commercialization plans due to restrictions on our customers’ ability to access laboratories, causing delays in the delivery and installation of our Proteograph products, training such customers on our products, and their ability to conduct research. The ongoing build-out of our expansion facilities may also be delayed by COVID-related restrictions. Furthermore, COVID-19 has adversely affected the broader economy and financial markets, resulting in an economic downturn that could curtail the research and development budgets of our customers, our ability to hire additional personnel and our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1440" w:right="359" w:bottom="1440" w:gutter="0" w:footer="0" w:header="0"/>
        </w:sectPr>
      </w:pPr>
    </w:p>
    <w:bookmarkStart w:id="90" w:name="page91"/>
    <w:bookmarkEnd w:id="90"/>
    <w:p>
      <w:pPr>
        <w:spacing w:after="0" w:line="14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prospects. Any of the foregoing could harm our operations and we cannot anticipate all the ways in which it could be adversely impacted by health epidemics such as COVID-19.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details, see the section titled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not generated any revenue from product sales and we may not be able to generate meaningful revenues in the near future. Our revenue to date has been generated from research collaborations and grant-funded activities.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Research and development, or R&amp;D, expenses include cost associated with performing services under research and development service contracts and research and development of our technology and product candidates. R&amp;D expenses consist primarily of employee compensation, including stock-based compensation, and related benefits, laboratory supplies used for in-house research, consulting costs, costs related to clinical studies for the collection of biological samples for research use, which relate to the assets transferred to PrognomIQ, and allocated overhead, including rent, depreciation, information technology and utilities.</w:t>
      </w:r>
    </w:p>
    <w:p>
      <w:pPr>
        <w:spacing w:after="0" w:line="13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plan to increase our investment in our R&amp;D efforts related to our Proteograph Product Suite, our product development pipeline and our proprietary engineered NP technology. Therefore, we expect R&amp;D expenses will increase in absolute dollars in future periods as we incur expenses associated with hiring additional personnel, purchasing supplies and materials, and the allocation of facility expense associated with the ongoing build-out of our expansion facilities to support our R&amp;D efforts.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General and administrative expenses consist primarily of employee compensation, including stock-based compensation, and related benefits for executive management, finance, administration and human resources, legal, allocated overhead, professional service fees and other general overhead costs to support our operations.</w:t>
      </w:r>
    </w:p>
    <w:p>
      <w:pPr>
        <w:spacing w:after="0" w:line="130"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We expect to incur additional general and administrative expenses as we continue to invest in our personnel as we grow and with the additional costs incurred as a result of operating as a public company, including accounting, human resources, legal, insurance and investor relations costs. As a result, we expect general and administrative expenses to increase in absolute dollars in future periods.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consists of interest earned on cash, cash equivalents and investments.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Interest expense consists of interest related to certain convertible promissory notes that were issued in May 2019. These notes were converted to convertible preferred stock in November 2019.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Other expense consists of our share of losses from our equity method investment made in August 2020, the carrying amount of which was reduced to zero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320" w:top="1440" w:right="359" w:bottom="1440" w:gutter="0" w:footer="0" w:header="0"/>
        </w:sectPr>
      </w:pPr>
    </w:p>
    <w:bookmarkStart w:id="91" w:name="page92"/>
    <w:bookmarkEnd w:id="9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Comparisons of the Years Ended December 31, 2020 and 2019</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1720" w:type="dxa"/>
            <w:vAlign w:val="bottom"/>
            <w:gridSpan w:val="3"/>
          </w:tcPr>
          <w:p>
            <w:pPr>
              <w:ind w:left="10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190"/>
        </w:trPr>
        <w:tc>
          <w:tcPr>
            <w:tcW w:w="5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6"/>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6"/>
          </w:tcPr>
          <w:p>
            <w:pPr>
              <w:ind w:left="560"/>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Research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403 %</w:t>
            </w: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Grant revenue</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528 %</w:t>
            </w:r>
          </w:p>
        </w:tc>
      </w:tr>
      <w:tr>
        <w:trPr>
          <w:trHeight w:val="237"/>
        </w:trPr>
        <w:tc>
          <w:tcPr>
            <w:tcW w:w="512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466 %</w:t>
            </w: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5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234 %</w:t>
            </w:r>
          </w:p>
        </w:tc>
      </w:tr>
      <w:tr>
        <w:trPr>
          <w:trHeight w:val="27"/>
        </w:trPr>
        <w:tc>
          <w:tcPr>
            <w:tcW w:w="5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r>
      <w:tr>
        <w:trPr>
          <w:trHeight w:val="257"/>
        </w:trPr>
        <w:tc>
          <w:tcPr>
            <w:tcW w:w="5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56"/>
        </w:trPr>
        <w:tc>
          <w:tcPr>
            <w:tcW w:w="5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income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57"/>
        </w:trPr>
        <w:tc>
          <w:tcPr>
            <w:tcW w:w="5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8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(16,737)</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340" w:right="9600" w:hanging="8"/>
        <w:spacing w:after="0" w:line="514" w:lineRule="auto"/>
        <w:tabs>
          <w:tab w:leader="none" w:pos="475" w:val="left"/>
        </w:tabs>
        <w:numPr>
          <w:ilvl w:val="0"/>
          <w:numId w:val="4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Not meaningful Revenue</w:t>
      </w: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0"/>
        </w:trPr>
        <w:tc>
          <w:tcPr>
            <w:tcW w:w="5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gridSpan w:val="3"/>
          </w:tcPr>
          <w:p>
            <w:pPr>
              <w:jc w:val="right"/>
              <w:ind w:right="279"/>
              <w:spacing w:after="0"/>
              <w:rPr>
                <w:sz w:val="20"/>
                <w:szCs w:val="20"/>
                <w:color w:val="auto"/>
              </w:rPr>
            </w:pPr>
            <w:r>
              <w:rPr>
                <w:rFonts w:ascii="Arial" w:cs="Arial" w:eastAsia="Arial" w:hAnsi="Arial"/>
                <w:sz w:val="14"/>
                <w:szCs w:val="14"/>
                <w:i w:val="1"/>
                <w:iCs w:val="1"/>
                <w:color w:val="auto"/>
                <w:w w:val="95"/>
              </w:rPr>
              <w:t>(dollars in thousands)</w:t>
            </w: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96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540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466 %</w:t>
            </w:r>
          </w:p>
        </w:tc>
      </w:tr>
    </w:tbl>
    <w:p>
      <w:pPr>
        <w:spacing w:after="0" w:line="148"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Revenue increased by $0.5 million, or 466%, from $0.1 million in 2019 to $0.7 million in 2020, due to a Small Business Innovation Research grant awarded by the National Institutes of Health in the third quarter of 2019 and continued through 2020 and completion of a research collaboration study.</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tcPr>
          <w:p>
            <w:pPr>
              <w:spacing w:after="0"/>
              <w:rPr>
                <w:sz w:val="17"/>
                <w:szCs w:val="17"/>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7"/>
                <w:szCs w:val="17"/>
                <w:color w:val="auto"/>
              </w:rPr>
            </w:pPr>
          </w:p>
        </w:tc>
      </w:tr>
      <w:tr>
        <w:trPr>
          <w:trHeight w:val="210"/>
        </w:trPr>
        <w:tc>
          <w:tcPr>
            <w:tcW w:w="5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5"/>
        </w:trPr>
        <w:tc>
          <w:tcPr>
            <w:tcW w:w="5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60" w:type="dxa"/>
            <w:vAlign w:val="bottom"/>
            <w:gridSpan w:val="4"/>
          </w:tcPr>
          <w:p>
            <w:pPr>
              <w:jc w:val="right"/>
              <w:ind w:right="1262"/>
              <w:spacing w:after="0"/>
              <w:rPr>
                <w:sz w:val="20"/>
                <w:szCs w:val="20"/>
                <w:color w:val="auto"/>
              </w:rPr>
            </w:pPr>
            <w:r>
              <w:rPr>
                <w:rFonts w:ascii="Arial" w:cs="Arial" w:eastAsia="Arial" w:hAnsi="Arial"/>
                <w:sz w:val="14"/>
                <w:szCs w:val="14"/>
                <w:i w:val="1"/>
                <w:iCs w:val="1"/>
                <w:color w:val="auto"/>
                <w:w w:val="97"/>
              </w:rPr>
              <w:t>(dollars in thousands)</w:t>
            </w:r>
          </w:p>
        </w:tc>
        <w:tc>
          <w:tcPr>
            <w:tcW w:w="1080" w:type="dxa"/>
            <w:vAlign w:val="bottom"/>
          </w:tcPr>
          <w:p>
            <w:pPr>
              <w:spacing w:after="0"/>
              <w:rPr>
                <w:sz w:val="16"/>
                <w:szCs w:val="16"/>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18,942</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12,393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6,549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r>
    </w:tbl>
    <w:p>
      <w:pPr>
        <w:spacing w:after="0" w:line="148"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R&amp;D expenses increased by $6.5 million, or 53%, from $12.4 million in 2019 to $18.9 million in 2020. The increase was primarily due to an increase in product development efforts related to our Proteograph Product Suite including $3.4 million in employee compensation costs, stock-based compensation and other related costs due to growth in research and development personnel, $1.2 million related to the expansion of facilities and maintenance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40"/>
          </w:cols>
          <w:pgMar w:left="320" w:top="1440" w:right="339" w:bottom="1440" w:gutter="0" w:footer="0" w:header="0"/>
          <w:type w:val="continuous"/>
        </w:sectPr>
      </w:pPr>
    </w:p>
    <w:bookmarkStart w:id="92" w:name="page93"/>
    <w:bookmarkEnd w:id="92"/>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and depreciation of laboratory equipment, $1.5 million in laboratory materials and prototypes, supplies and reagents used for in-house research and</w:t>
      </w:r>
    </w:p>
    <w:p>
      <w:pPr>
        <w:spacing w:after="0" w:line="3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$1.3 million in professional and consulting fees. This was offset by a decrease in clinical study fees of $0.9 million related to the costs associated with the ramp down of site enrollment for clinical studies related to the collection of biological samples for research use. These clinical studies are related to the assets transferred to PrognomIQ.</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tcPr>
          <w:p>
            <w:pPr>
              <w:spacing w:after="0"/>
              <w:rPr>
                <w:sz w:val="17"/>
                <w:szCs w:val="17"/>
                <w:color w:val="auto"/>
              </w:rPr>
            </w:pPr>
          </w:p>
        </w:tc>
        <w:tc>
          <w:tcPr>
            <w:tcW w:w="24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7"/>
                <w:szCs w:val="17"/>
                <w:color w:val="auto"/>
              </w:rPr>
            </w:pPr>
          </w:p>
        </w:tc>
      </w:tr>
      <w:tr>
        <w:trPr>
          <w:trHeight w:val="209"/>
        </w:trPr>
        <w:tc>
          <w:tcPr>
            <w:tcW w:w="5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5"/>
        </w:trPr>
        <w:tc>
          <w:tcPr>
            <w:tcW w:w="5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40" w:type="dxa"/>
            <w:vAlign w:val="bottom"/>
            <w:gridSpan w:val="4"/>
          </w:tcPr>
          <w:p>
            <w:pPr>
              <w:jc w:val="right"/>
              <w:ind w:right="1262"/>
              <w:spacing w:after="0"/>
              <w:rPr>
                <w:sz w:val="20"/>
                <w:szCs w:val="20"/>
                <w:color w:val="auto"/>
              </w:rPr>
            </w:pPr>
            <w:r>
              <w:rPr>
                <w:rFonts w:ascii="Arial" w:cs="Arial" w:eastAsia="Arial" w:hAnsi="Arial"/>
                <w:sz w:val="14"/>
                <w:szCs w:val="14"/>
                <w:i w:val="1"/>
                <w:iCs w:val="1"/>
                <w:color w:val="auto"/>
                <w:w w:val="95"/>
              </w:rPr>
              <w:t>(dollars in thousands)</w:t>
            </w:r>
          </w:p>
        </w:tc>
        <w:tc>
          <w:tcPr>
            <w:tcW w:w="1080" w:type="dxa"/>
            <w:vAlign w:val="bottom"/>
          </w:tcPr>
          <w:p>
            <w:pPr>
              <w:spacing w:after="0"/>
              <w:rPr>
                <w:sz w:val="16"/>
                <w:szCs w:val="16"/>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15,363</w:t>
            </w:r>
          </w:p>
        </w:tc>
        <w:tc>
          <w:tcPr>
            <w:tcW w:w="96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4,606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10,757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234 %</w:t>
            </w:r>
          </w:p>
        </w:tc>
      </w:tr>
    </w:tbl>
    <w:p>
      <w:pPr>
        <w:spacing w:after="0" w:line="148"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General and administrative expenses increased by $10.8 million, or 234% , from $4.6 million in 2019 to $15.4 million in 2020, primarily due to a $2.0 million increase in employee compensation and other related expenses, and a $5.3 million stock-based compensation increase, as a result of both converting consultants to full-time employees and an increase in personnel, including the addition of key members of executive management. Other increases include $0.7 million in professional and consulting fees related to non-capitalizable accounting and audit services in connection with our initial public offering, $1.0 million in corporate legal matters primarily related to the PrognomIQ transaction and patent activities, $0.4 million in public relation costs, $0.3 million in insurance premiums as related to becoming a publicly traded company, and $0.6 million in general business expenses such as information technology services and support and business licenses, fees and taxes.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tcPr>
          <w:p>
            <w:pPr>
              <w:spacing w:after="0"/>
              <w:rPr>
                <w:sz w:val="17"/>
                <w:szCs w:val="17"/>
                <w:color w:val="auto"/>
              </w:rPr>
            </w:pPr>
          </w:p>
        </w:tc>
        <w:tc>
          <w:tcPr>
            <w:tcW w:w="24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7"/>
                <w:szCs w:val="17"/>
                <w:color w:val="auto"/>
              </w:rPr>
            </w:pPr>
          </w:p>
        </w:tc>
      </w:tr>
      <w:tr>
        <w:trPr>
          <w:trHeight w:val="209"/>
        </w:trPr>
        <w:tc>
          <w:tcPr>
            <w:tcW w:w="5120" w:type="dxa"/>
            <w:vAlign w:val="bottom"/>
          </w:tcPr>
          <w:p>
            <w:pPr>
              <w:spacing w:after="0"/>
              <w:rPr>
                <w:sz w:val="18"/>
                <w:szCs w:val="18"/>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5"/>
        </w:trPr>
        <w:tc>
          <w:tcPr>
            <w:tcW w:w="5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00" w:type="dxa"/>
            <w:vAlign w:val="bottom"/>
            <w:gridSpan w:val="3"/>
          </w:tcPr>
          <w:p>
            <w:pPr>
              <w:jc w:val="right"/>
              <w:ind w:right="319"/>
              <w:spacing w:after="0"/>
              <w:rPr>
                <w:sz w:val="20"/>
                <w:szCs w:val="20"/>
                <w:color w:val="auto"/>
              </w:rPr>
            </w:pPr>
            <w:r>
              <w:rPr>
                <w:rFonts w:ascii="Arial" w:cs="Arial" w:eastAsia="Arial" w:hAnsi="Arial"/>
                <w:sz w:val="14"/>
                <w:szCs w:val="14"/>
                <w:i w:val="1"/>
                <w:iCs w:val="1"/>
                <w:color w:val="auto"/>
                <w:w w:val="95"/>
              </w:rPr>
              <w:t>(dollars in thousands)</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96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29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bl>
    <w:p>
      <w:pPr>
        <w:spacing w:after="0" w:line="14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Total other income stayed relatively consistent year over year, from $0.8 million in 2019 to $0.9 million in 2020. Interest rate yields decreased during the fiscal year 2020, which were largely offset quantitatively by higher amounts of cash invested in money market funds and U.S. Treasury securities during the fiscal year 2020 as a result of multiple financing events, including $55.0 million raised in convertible preferred stock financings in the fourth quarter of 2019, $55.0 million raised in convertible preferred stock financings in the second quarter of 2020 and $314.3 million raised in an initial public offering and private placement in December 2020, compared to $17.1 million raised in convertible preferred stock financings during the first nine months of 2019.</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Since the date of our incorporation, we have not generated any revenue from product sales and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on hand, we believe we will have adequate liquidity over the next twelve months following the date of this Annual Report to operate our business and to meet our cash requirements.</w:t>
      </w:r>
    </w:p>
    <w:p>
      <w:pPr>
        <w:spacing w:after="0" w:line="13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December 8, 2020, we completed our IPO, in which we sold 10,592,106 shares of Class A common stock and received net proceeds of $183.9 million after deducting offering costs, underwriting discounts and commissions. Concurrent with the IPO, we issued 7,105,262 shares of our common stock in a private placement for net proceeds of $130.3 million after deducting underwriting discounts and commissions. On February 1, 2021, we completed an underwritten public offering of 1,650,000 shares of our Class A common stock and received net proceeds of $103.1 million after deducting offering costs,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Year ended December 31,</w:t>
            </w:r>
          </w:p>
        </w:tc>
      </w:tr>
      <w:tr>
        <w:trPr>
          <w:trHeight w:val="187"/>
        </w:trPr>
        <w:tc>
          <w:tcPr>
            <w:tcW w:w="786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80"/>
        </w:trPr>
        <w:tc>
          <w:tcPr>
            <w:tcW w:w="7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center"/>
              <w:ind w:left="618"/>
              <w:spacing w:after="0"/>
              <w:rPr>
                <w:sz w:val="20"/>
                <w:szCs w:val="20"/>
                <w:color w:val="auto"/>
              </w:rPr>
            </w:pPr>
            <w:r>
              <w:rPr>
                <w:rFonts w:ascii="Arial" w:cs="Arial" w:eastAsia="Arial" w:hAnsi="Arial"/>
                <w:sz w:val="14"/>
                <w:szCs w:val="14"/>
                <w:i w:val="1"/>
                <w:iCs w:val="1"/>
                <w:color w:val="auto"/>
                <w:w w:val="92"/>
              </w:rPr>
              <w:t>(in thousands)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2"/>
              </w:rPr>
              <w:t>(20,828)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314"/>
              <w:spacing w:after="0"/>
              <w:rPr>
                <w:sz w:val="20"/>
                <w:szCs w:val="20"/>
                <w:color w:val="auto"/>
              </w:rPr>
            </w:pPr>
            <w:r>
              <w:rPr>
                <w:rFonts w:ascii="Arial" w:cs="Arial" w:eastAsia="Arial" w:hAnsi="Arial"/>
                <w:sz w:val="18"/>
                <w:szCs w:val="18"/>
                <w:color w:val="auto"/>
                <w:w w:val="92"/>
              </w:rPr>
              <w:t>(13,073)</w:t>
            </w:r>
          </w:p>
        </w:tc>
        <w:tc>
          <w:tcPr>
            <w:tcW w:w="100" w:type="dxa"/>
            <w:vAlign w:val="bottom"/>
            <w:shd w:val="clear" w:color="auto" w:fill="CCEEFF"/>
          </w:tcPr>
          <w:p>
            <w:pPr>
              <w:spacing w:after="0"/>
              <w:rPr>
                <w:sz w:val="20"/>
                <w:szCs w:val="20"/>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200" w:type="dxa"/>
            <w:vAlign w:val="bottom"/>
          </w:tcPr>
          <w:p>
            <w:pPr>
              <w:ind w:left="560"/>
              <w:spacing w:after="0"/>
              <w:rPr>
                <w:sz w:val="20"/>
                <w:szCs w:val="20"/>
                <w:color w:val="auto"/>
              </w:rPr>
            </w:pPr>
            <w:r>
              <w:rPr>
                <w:rFonts w:ascii="Arial" w:cs="Arial" w:eastAsia="Arial" w:hAnsi="Arial"/>
                <w:sz w:val="18"/>
                <w:szCs w:val="18"/>
                <w:color w:val="auto"/>
                <w:w w:val="92"/>
              </w:rPr>
              <w:t>(34,558)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center"/>
              <w:ind w:left="314"/>
              <w:spacing w:after="0"/>
              <w:rPr>
                <w:sz w:val="20"/>
                <w:szCs w:val="20"/>
                <w:color w:val="auto"/>
              </w:rPr>
            </w:pPr>
            <w:r>
              <w:rPr>
                <w:rFonts w:ascii="Arial" w:cs="Arial" w:eastAsia="Arial" w:hAnsi="Arial"/>
                <w:sz w:val="18"/>
                <w:szCs w:val="18"/>
                <w:color w:val="auto"/>
                <w:w w:val="92"/>
              </w:rPr>
              <w:t>(72,383)</w:t>
            </w:r>
          </w:p>
        </w:tc>
        <w:tc>
          <w:tcPr>
            <w:tcW w:w="100" w:type="dxa"/>
            <w:vAlign w:val="bottom"/>
          </w:tcPr>
          <w:p>
            <w:pPr>
              <w:spacing w:after="0"/>
              <w:rPr>
                <w:sz w:val="19"/>
                <w:szCs w:val="19"/>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8"/>
              </w:rPr>
              <w:t>371,486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334"/>
              <w:spacing w:after="0"/>
              <w:rPr>
                <w:sz w:val="20"/>
                <w:szCs w:val="20"/>
                <w:color w:val="auto"/>
              </w:rPr>
            </w:pPr>
            <w:r>
              <w:rPr>
                <w:rFonts w:ascii="Arial" w:cs="Arial" w:eastAsia="Arial" w:hAnsi="Arial"/>
                <w:sz w:val="18"/>
                <w:szCs w:val="18"/>
                <w:color w:val="auto"/>
                <w:w w:val="87"/>
              </w:rPr>
              <w:t>72,331</w:t>
            </w:r>
          </w:p>
        </w:tc>
        <w:tc>
          <w:tcPr>
            <w:tcW w:w="100" w:type="dxa"/>
            <w:vAlign w:val="bottom"/>
            <w:shd w:val="clear" w:color="auto" w:fill="CCEEFF"/>
          </w:tcPr>
          <w:p>
            <w:pPr>
              <w:spacing w:after="0"/>
              <w:rPr>
                <w:sz w:val="19"/>
                <w:szCs w:val="19"/>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8"/>
              </w:rPr>
              <w:t>316,100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center"/>
              <w:ind w:left="314"/>
              <w:spacing w:after="0"/>
              <w:rPr>
                <w:sz w:val="20"/>
                <w:szCs w:val="20"/>
                <w:color w:val="auto"/>
              </w:rPr>
            </w:pPr>
            <w:r>
              <w:rPr>
                <w:rFonts w:ascii="Arial" w:cs="Arial" w:eastAsia="Arial" w:hAnsi="Arial"/>
                <w:sz w:val="18"/>
                <w:szCs w:val="18"/>
                <w:color w:val="auto"/>
                <w:w w:val="92"/>
              </w:rPr>
              <w:t>(13,125)</w:t>
            </w:r>
          </w:p>
        </w:tc>
        <w:tc>
          <w:tcPr>
            <w:tcW w:w="100" w:type="dxa"/>
            <w:vAlign w:val="bottom"/>
          </w:tcPr>
          <w:p>
            <w:pPr>
              <w:spacing w:after="0"/>
              <w:rPr>
                <w:sz w:val="19"/>
                <w:szCs w:val="19"/>
                <w:color w:val="auto"/>
              </w:rPr>
            </w:pPr>
          </w:p>
        </w:tc>
      </w:tr>
      <w:tr>
        <w:trPr>
          <w:trHeight w:val="21"/>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2020, cash used in operating activities was $20.8 million, attributable to a net loss of $32.8 million, partially offset by a net change in our net operating assets and liabilities of $2.7 million and non-cash charges of $9.2 million. Non-cash charges primarily consisted of $7.3 million in stock-based compensation, $1.6 million of depreciation and amortization and $0.3 million of net amortization of premiums on available-for-sales securities. The change in our net operating assets and liabilities was primarily due to increased accrued liabilities related to employee-related compensation of $1.3 million, and professional, consulting and legal fees related to our initial public offering of $1.1 million.</w:t>
      </w:r>
    </w:p>
    <w:p>
      <w:pPr>
        <w:spacing w:after="0" w:line="12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2019, cash used in operating activities was $13.1 million, attributable to a net loss of $16.0 million, partially offset by a net change in our net operating assets and liabilities of $1.0 million, and by non-cash charges of $2.0 million. Non-cash charges primarily consisted of $1.6 million in stock-based compensation and $0.7 million of depreciation and amortization, offset by $0.3 million of net accretion of discounts on available-for-sales securities. The change in our net operating assets and liabilities was primarily due to increased accrued liabilities related to clinical study fees of $0.4 million, tenant improvements of $0.3 million, professional services and consulting costs of $0.4 million, and $0.2 million in other general business expenses, offset by deposits related to a lease agreement of $0.3 million.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2020, cash used in investing activities was $34.6 million, which related to purchases of available-for-sale securities, net of proceeds from maturities of $30.0 million, in addition to $4.5 million in payments primarily for laboratory equipment.</w:t>
      </w:r>
    </w:p>
    <w:p>
      <w:pPr>
        <w:spacing w:after="0" w:line="11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2019, cash used in investing activities was $72.4 million, which related to purchases of available-for-sale securities, net of proceeds from maturities of $68.3 million, in addition to $4.1 in payments primarily for laboratory equipment.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2020, cash provided by financing activities was $371.5 million. This was attributable to net proceeds of $183.9 million from issuance of common stock upon initial public offering, net of issuance costs, net proceeds of $130.3 million from the concurrent private placement, net of issuance costs, and net proceeds of $54.9 million from the issuance of Series D-1 convertible preferred stock, net of issuance costs.</w:t>
      </w:r>
    </w:p>
    <w:p>
      <w:pPr>
        <w:spacing w:after="0" w:line="130"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In 2019, cash provided by financing activities was $72.3 million. This was attributable to the net proceeds of $17.3 million from the issuance of Series C convertible preferred stock, net of issuance costs and $54.6 million from the issuance of Series D convertible preferred stock, net of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1440" w:right="359" w:bottom="1440" w:gutter="0" w:footer="0" w:header="0"/>
        </w:sectPr>
      </w:pPr>
    </w:p>
    <w:bookmarkStart w:id="94" w:name="page95"/>
    <w:bookmarkEnd w:id="9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as of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1"/>
                <w:szCs w:val="11"/>
                <w:color w:val="auto"/>
              </w:rPr>
            </w:pPr>
          </w:p>
        </w:tc>
        <w:tc>
          <w:tcPr>
            <w:tcW w:w="104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91"/>
              </w:rPr>
              <w:t>Less than</w:t>
            </w:r>
          </w:p>
        </w:tc>
        <w:tc>
          <w:tcPr>
            <w:tcW w:w="300" w:type="dxa"/>
            <w:vAlign w:val="bottom"/>
          </w:tcPr>
          <w:p>
            <w:pPr>
              <w:spacing w:after="0"/>
              <w:rPr>
                <w:sz w:val="11"/>
                <w:szCs w:val="11"/>
                <w:color w:val="auto"/>
              </w:rPr>
            </w:pPr>
          </w:p>
        </w:tc>
        <w:tc>
          <w:tcPr>
            <w:tcW w:w="1240" w:type="dxa"/>
            <w:vAlign w:val="bottom"/>
            <w:vMerge w:val="restart"/>
          </w:tcPr>
          <w:p>
            <w:pPr>
              <w:jc w:val="center"/>
              <w:ind w:right="202"/>
              <w:spacing w:after="0"/>
              <w:rPr>
                <w:sz w:val="20"/>
                <w:szCs w:val="20"/>
                <w:color w:val="auto"/>
              </w:rPr>
            </w:pPr>
            <w:r>
              <w:rPr>
                <w:rFonts w:ascii="Arial" w:cs="Arial" w:eastAsia="Arial" w:hAnsi="Arial"/>
                <w:sz w:val="14"/>
                <w:szCs w:val="14"/>
                <w:b w:val="1"/>
                <w:bCs w:val="1"/>
                <w:color w:val="auto"/>
                <w:w w:val="92"/>
              </w:rPr>
              <w:t>1-3 years</w:t>
            </w:r>
          </w:p>
        </w:tc>
        <w:tc>
          <w:tcPr>
            <w:tcW w:w="240" w:type="dxa"/>
            <w:vAlign w:val="bottom"/>
          </w:tcPr>
          <w:p>
            <w:pPr>
              <w:spacing w:after="0"/>
              <w:rPr>
                <w:sz w:val="11"/>
                <w:szCs w:val="11"/>
                <w:color w:val="auto"/>
              </w:rPr>
            </w:pPr>
          </w:p>
        </w:tc>
        <w:tc>
          <w:tcPr>
            <w:tcW w:w="10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3-5 years</w:t>
            </w:r>
          </w:p>
        </w:tc>
        <w:tc>
          <w:tcPr>
            <w:tcW w:w="300" w:type="dxa"/>
            <w:vAlign w:val="bottom"/>
          </w:tcPr>
          <w:p>
            <w:pPr>
              <w:spacing w:after="0"/>
              <w:rPr>
                <w:sz w:val="11"/>
                <w:szCs w:val="11"/>
                <w:color w:val="auto"/>
              </w:rPr>
            </w:pPr>
          </w:p>
        </w:tc>
        <w:tc>
          <w:tcPr>
            <w:tcW w:w="1100" w:type="dxa"/>
            <w:vAlign w:val="bottom"/>
          </w:tcPr>
          <w:p>
            <w:pPr>
              <w:jc w:val="center"/>
              <w:ind w:right="142"/>
              <w:spacing w:after="0" w:line="135" w:lineRule="exact"/>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8"/>
              </w:rPr>
              <w:t>1 year</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81"/>
        </w:trPr>
        <w:tc>
          <w:tcPr>
            <w:tcW w:w="4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ind w:right="182"/>
              <w:spacing w:after="0"/>
              <w:rPr>
                <w:sz w:val="20"/>
                <w:szCs w:val="20"/>
                <w:color w:val="auto"/>
              </w:rPr>
            </w:pPr>
            <w:r>
              <w:rPr>
                <w:rFonts w:ascii="Arial" w:cs="Arial" w:eastAsia="Arial" w:hAnsi="Arial"/>
                <w:sz w:val="14"/>
                <w:szCs w:val="14"/>
                <w:i w:val="1"/>
                <w:iCs w:val="1"/>
                <w:color w:val="auto"/>
                <w:w w:val="92"/>
              </w:rPr>
              <w:t>(in thousands)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20,366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3,062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12,792</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In addition, we enter into agreements as a part of normal course of business with various vendors, which are generally cancellable without material penalty upon written notice. Payments associated with these agreements are not included in this table of contractual obligations.</w:t>
      </w:r>
    </w:p>
    <w:p>
      <w:pPr>
        <w:spacing w:after="0" w:line="92"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Our operating lease obligations reflect our lease obligations for our headquarters facility in Redwood City, California. In June 2020, we amended the lease agreement for this facility to expand the office and laboratory space covered by the lease, extend the lease through February 2032, and increase the annual base rent for the expanded premises. Upon occupancy of the expansion facility that is anticipated to occur in the second half of 2021, the annual base rent will be $0.9 million in the first 12 months of the lease term (subject to an abatement period of nine months), and increases on an annual basis to $1.2 million in the final 12 months of the lease term. The amendment also provides for tenant incentives in the amount of $2.4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Since the date of our incorporation, we have not engaged in any off-balance sheet arrangements, as such term is defined in the rules and regulations of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75"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discussion and analysis of our financial condition and results of operations is based on our consolidated financial statements, which have been prepared in accordance with United States generally accepted accounting principles. The preparation of these consolidated financial statements requires us to make estimates and assumptions that affect the reported amounts of assets, liabilities, and the disclosure of contingent assets and liabilities at the date of the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1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While our significant accounting policies are described in the notes to our consolidated financial statements, we believe that the following critical accounting policies are most important to understanding and evaluating our reported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account for stock-based compensation by measuring and recognizing compensation expense for all share-based awards made to employees and non-employees based on estimated grant-date fair values. We use the straight-line method to allocate compensation cost to reporting periods over the requisite service period, which is generally the vesting period. We recognize actual forfeitures by reducing the stock-based compensation in the same period as the forfeitures occur. We estimate the fair value of share-based awards to employees and non-employees using the Black-Scholes option-pricing valuation model. The Black-Scholes model requires the input of subjective assumptions, including fair value of common stock, expected term, expected volatility, risk-free interest rate, and expected dividend yield, which are described in greater detail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44"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Estimating the fair value of equity-settled awards as of the grant date using the Black-Scholes option pricing model is affected by assumptions regarding a number of complex variables. Changes in the assumptions can materially affect the fair value and ultimately how much stock-based compensation is recognized. These inputs are subjective and generally require significant analysis and judgment to develop. These inputs are as follows:</w:t>
      </w:r>
    </w:p>
    <w:p>
      <w:pPr>
        <w:spacing w:after="0" w:line="95" w:lineRule="exact"/>
        <w:rPr>
          <w:sz w:val="20"/>
          <w:szCs w:val="20"/>
          <w:color w:val="auto"/>
        </w:rPr>
      </w:pPr>
    </w:p>
    <w:p>
      <w:pPr>
        <w:ind w:left="660" w:hanging="328"/>
        <w:spacing w:after="0" w:line="254"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Fair value of common stock—Prior to our IPO, there was no public market for our common stock. As such, the estimated fair value of our common stock and underlying stock options has been determined at each grant date by our board of directors, with input from management, based on the information known to us on the grant date and upon a review of any recent events and their potential impact on the estimated per share fair value of our common stock. As part of these fair value determinations, our board of directors obtained and considered valuation reports prepared by a third-party valuation firm in accordance with the guidance outlined in the American Institute of Certified Public Accountants Technical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For valuations after the completion of our initial public offering, the fair value of each share of underlying common stock is based on the closing price of our Class A common stock as reported on the date of grant.</w:t>
      </w:r>
    </w:p>
    <w:p>
      <w:pPr>
        <w:spacing w:after="0" w:line="137" w:lineRule="exact"/>
        <w:rPr>
          <w:rFonts w:ascii="Arial" w:cs="Arial" w:eastAsia="Arial" w:hAnsi="Arial"/>
          <w:sz w:val="18"/>
          <w:szCs w:val="18"/>
          <w:color w:val="auto"/>
        </w:rPr>
      </w:pPr>
    </w:p>
    <w:p>
      <w:pPr>
        <w:ind w:left="660" w:right="40" w:hanging="328"/>
        <w:spacing w:after="0" w:line="25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Expected term—The expected term for options granted to employees and directors represents the average period that our options granted are expected to be outstanding and is determined using the simplified method (based on the mid-point between the weighted-average vesting date and the end of the contractual term). We have very limited historical information to develop reasonable expectations about future exercise patterns and post-vesting employment termination behavior for our stock option grants. The expected term for options granted to non-employees is the contractual term.</w:t>
      </w:r>
    </w:p>
    <w:p>
      <w:pPr>
        <w:spacing w:after="0" w:line="133" w:lineRule="exact"/>
        <w:rPr>
          <w:rFonts w:ascii="Arial" w:cs="Arial" w:eastAsia="Arial" w:hAnsi="Arial"/>
          <w:sz w:val="18"/>
          <w:szCs w:val="18"/>
          <w:color w:val="auto"/>
        </w:rPr>
      </w:pPr>
    </w:p>
    <w:p>
      <w:pPr>
        <w:ind w:left="660" w:right="100" w:hanging="328"/>
        <w:spacing w:after="0" w:line="25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Expected volatility—As we had no publicly available stock price information prior to our IPO and limited publicly available stock price information subsequent to our IPO, the expected volatility was estimated based on the historical average volatility for comparable publicly traded life sciences technology companies over a period equal to the expected term of the stock option grants. The comparable companies were chosen based on their similar size, life cycle stage, or area of specialty. We will continue to apply this process until enough historical information regarding the volatility of our own stock price becomes available.</w:t>
      </w:r>
    </w:p>
    <w:p>
      <w:pPr>
        <w:spacing w:after="0" w:line="133"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Risk-free interest rate—The risk-free interest rate is based on the U.S. Treasury zero coupon issues in effect at the time of grant for periods corresponding with the expected term of the options.</w:t>
      </w:r>
    </w:p>
    <w:p>
      <w:pPr>
        <w:spacing w:after="0" w:line="116"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Expected dividend yield—We have never paid dividends on our common stock and have no plans to pay dividends on our common stock. Therefore, we used an expected dividend yield of zero.</w:t>
      </w:r>
    </w:p>
    <w:p>
      <w:pPr>
        <w:spacing w:after="0" w:line="11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will continue to use judgment in evaluating the expected volatility, expected terms, and interest rates utilized for our stock-based compensation calculations on a prospective basis. Assumptions we used in applying the Black-Scholes option-pricing model to determine the estimated fair value of our stock options granted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7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Other exemptions and reduced reporting requirements under the JOBS Act for emerging growth companies include presentation of only two years audited financial statements in a registration statement for an initial public offering, an exemption from the requirement to provide an auditor’s report on internal controls over financial reporting pursuant to the Sarbanes-Oxley Act, an exemption from any requirement that may be adopted by the Public Company Accounting Oversight Board regarding mandatory audit firm rotation, and less extensive disclosure about our executive compensation arrangements. We have elected to use the extended transition period for complying with new or revised accounting standards that have different effective dates for public and private companies until the earlier of the date that (i) we are no longer an emerging growth company or (ii) we affirmatively and irrevocably opt out of the extended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1440" w:right="359" w:bottom="1440" w:gutter="0" w:footer="0" w:header="0"/>
        </w:sectPr>
      </w:pPr>
    </w:p>
    <w:bookmarkStart w:id="96" w:name="page97"/>
    <w:bookmarkEnd w:id="96"/>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transition period provided in the JOBS Act. As a result, our consolidated financial statements may not be comparable to companies that comply with the new or revised accounting pronouncements as of public company effective dates.</w:t>
      </w:r>
    </w:p>
    <w:p>
      <w:pPr>
        <w:spacing w:after="0" w:line="11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will remain an emerging growth company under the JOBS Act until the earliest of (i) the last day of our first fiscal year in which we have total annual gross revenue of $1.07 billion or more, (ii) the date on which we have issued more than $1.0 billion of non-convertible debt instruments during the previous three fiscal years or (iii) the date on which we are deemed a “large accelerated filer” under the rules of the SEC with at least $700.0 million of outstanding equity securities held by non-affiliates, or (iv) the last day of the fiscal year following the fifth anniversary of completion of our initial public offering.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See Note 2 to our consolidated financial statements included elsewhere in this Annual Report for more information about recent accounting pronouncements, the timing of their adoption, and our assessment, to the extent we have made one yet, of their potential impact on our financial condition of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This Annual Report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9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connection with the audits of our consolidated financial statements included elsewhere in this prospectus, we and our independent registered public accounting firm identified material weaknesses related to:</w:t>
      </w:r>
    </w:p>
    <w:p>
      <w:pPr>
        <w:spacing w:after="0" w:line="116" w:lineRule="exact"/>
        <w:rPr>
          <w:sz w:val="20"/>
          <w:szCs w:val="20"/>
          <w:color w:val="auto"/>
        </w:rPr>
      </w:pPr>
    </w:p>
    <w:p>
      <w:pPr>
        <w:ind w:left="660" w:right="22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there being insufficient accounting personnel to enable segregation of duties relating to the general ledger, disbursement, and certain accounting functions.</w:t>
      </w:r>
    </w:p>
    <w:p>
      <w:pPr>
        <w:spacing w:after="0" w:line="116"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there not being formalized processes or controls for account reconciliations, including independent review of such reconciliations, or related financial statement analysis prepared in conformity with U.S. GAAP; and</w:t>
      </w:r>
    </w:p>
    <w:p>
      <w:pPr>
        <w:spacing w:after="0" w:line="116" w:lineRule="exact"/>
        <w:rPr>
          <w:rFonts w:ascii="Arial" w:cs="Arial" w:eastAsia="Arial" w:hAnsi="Arial"/>
          <w:sz w:val="18"/>
          <w:szCs w:val="18"/>
          <w:color w:val="auto"/>
        </w:rPr>
      </w:pPr>
    </w:p>
    <w:p>
      <w:pPr>
        <w:ind w:left="660" w:right="80" w:hanging="328"/>
        <w:spacing w:after="0" w:line="308" w:lineRule="auto"/>
        <w:tabs>
          <w:tab w:leader="none" w:pos="6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there not being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92"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Under standards established by the Public Company Accounting Oversight Board, a material weakness is a deficiency, or combination of deficiencies, in internal control over financial reporting such that there is a reasonable possibility that a material misstatement of our annual or interim consolidated financial statements will not be prevented or detected and corrected on a timely basis.</w:t>
      </w:r>
    </w:p>
    <w:p>
      <w:pPr>
        <w:spacing w:after="0" w:line="13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continue to work on remediating the material weaknesses and have taken steps to strengthen our internal control over financial reporting, including hiring three finance department employees with appropriate expertise, including our Chief Financial Officer and our Controller, and retaining an accounting consulting firm to provide additional depth and breadth to our technical accounting and financial reporting capabilities. We have also begun to review and document our accounting and financial processes and internal controls, build out our financial management and reporting systems infrastructure, and further develop and formalize our accounting policies and financial reporting procedures, which includes ongoing senior management review and establishing our audit committee oversight. In addition, our current plan includes engaging a consulting firm to assist in the design effectiveness and testing of our internal controls and the hiring of an additional four finance and accounting personnel during 2021 to assist in executing on these specific functions, of which we have hired two personnel as of January 31, 2021. With the additional personnel, we intend to take appropriate and reasonable steps to remediate these material weaknesses through the implementation of appropriate segregation of duties, formalization of accounting policies and controls and retention of appropriate expertise for complex accounting transactions. However, we cannot assure you that these measures will significantly improve or remediate the material weaknesses described above. As of December 31, 2020, the material weaknesses have not been remediated.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44"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The actions that we are taking are subject to ongoing executive management review, and will also be subject to audit committee oversight. If we are unable to successfully remediate the material weakness, or if in the future, we identify further material weaknesses in our internal control over financial reporting, we may not detect errors on a timely basis and our consolidated financial statements may be materially misstated.</w:t>
      </w:r>
    </w:p>
    <w:p>
      <w:pPr>
        <w:spacing w:after="0" w:line="11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1440" w:right="49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0" w:type="dxa"/>
            <w:vAlign w:val="bottom"/>
            <w:gridSpan w:val="5"/>
          </w:tcPr>
          <w:p>
            <w:pPr>
              <w:ind w:left="6100"/>
              <w:spacing w:after="0"/>
              <w:rPr>
                <w:sz w:val="20"/>
                <w:szCs w:val="20"/>
                <w:color w:val="auto"/>
              </w:rPr>
            </w:pPr>
            <w:r>
              <w:rPr>
                <w:rFonts w:ascii="Arial" w:cs="Arial" w:eastAsia="Arial" w:hAnsi="Arial"/>
                <w:sz w:val="14"/>
                <w:szCs w:val="14"/>
                <w:b w:val="1"/>
                <w:bCs w:val="1"/>
                <w:color w:val="auto"/>
                <w:w w:val="83"/>
              </w:rPr>
              <w:t>Page</w:t>
            </w:r>
          </w:p>
        </w:tc>
      </w:tr>
      <w:tr>
        <w:trPr>
          <w:trHeight w:val="201"/>
        </w:trPr>
        <w:tc>
          <w:tcPr>
            <w:tcW w:w="4680" w:type="dxa"/>
            <w:vAlign w:val="bottom"/>
            <w:gridSpan w:val="6"/>
          </w:tcPr>
          <w:p>
            <w:pPr>
              <w:spacing w:after="0" w:line="201" w:lineRule="exact"/>
              <w:rPr>
                <w:rFonts w:ascii="Arial" w:cs="Arial" w:eastAsia="Arial" w:hAnsi="Arial"/>
                <w:sz w:val="18"/>
                <w:szCs w:val="18"/>
                <w:color w:val="0000FF"/>
              </w:rPr>
            </w:pPr>
            <w:hyperlink w:anchor="page99">
              <w:r>
                <w:rPr>
                  <w:rFonts w:ascii="Arial" w:cs="Arial" w:eastAsia="Arial" w:hAnsi="Arial"/>
                  <w:sz w:val="18"/>
                  <w:szCs w:val="18"/>
                  <w:color w:val="0000FF"/>
                </w:rPr>
                <w:t>Report of Independent Registered Public Accounting Firm</w:t>
              </w:r>
            </w:hyperlink>
          </w:p>
        </w:tc>
        <w:tc>
          <w:tcPr>
            <w:tcW w:w="6340" w:type="dxa"/>
            <w:vAlign w:val="bottom"/>
            <w:gridSpan w:val="3"/>
          </w:tcPr>
          <w:p>
            <w:pPr>
              <w:jc w:val="center"/>
              <w:ind w:left="6073"/>
              <w:spacing w:after="0" w:line="201" w:lineRule="exact"/>
              <w:rPr>
                <w:rFonts w:ascii="Arial" w:cs="Arial" w:eastAsia="Arial" w:hAnsi="Arial"/>
                <w:sz w:val="18"/>
                <w:szCs w:val="18"/>
                <w:color w:val="0000FF"/>
                <w:w w:val="89"/>
              </w:rPr>
            </w:pPr>
            <w:hyperlink w:anchor="page99">
              <w:r>
                <w:rPr>
                  <w:rFonts w:ascii="Arial" w:cs="Arial" w:eastAsia="Arial" w:hAnsi="Arial"/>
                  <w:sz w:val="18"/>
                  <w:szCs w:val="18"/>
                  <w:color w:val="0000FF"/>
                  <w:w w:val="89"/>
                </w:rPr>
                <w:t>95</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100" w:type="dxa"/>
            <w:vAlign w:val="bottom"/>
          </w:tcPr>
          <w:p>
            <w:pPr>
              <w:spacing w:after="0"/>
              <w:rPr>
                <w:rFonts w:ascii="Arial" w:cs="Arial" w:eastAsia="Arial" w:hAnsi="Arial"/>
                <w:sz w:val="18"/>
                <w:szCs w:val="18"/>
                <w:color w:val="0000FF"/>
                <w:w w:val="88"/>
              </w:rPr>
            </w:pPr>
            <w:hyperlink w:anchor="page100">
              <w:r>
                <w:rPr>
                  <w:rFonts w:ascii="Arial" w:cs="Arial" w:eastAsia="Arial" w:hAnsi="Arial"/>
                  <w:sz w:val="18"/>
                  <w:szCs w:val="18"/>
                  <w:color w:val="0000FF"/>
                  <w:w w:val="88"/>
                </w:rPr>
                <w:t>Consolidated Balance Sheets</w:t>
              </w:r>
            </w:hyperlink>
          </w:p>
        </w:tc>
        <w:tc>
          <w:tcPr>
            <w:tcW w:w="2120" w:type="dxa"/>
            <w:vAlign w:val="bottom"/>
            <w:gridSpan w:val="3"/>
          </w:tcPr>
          <w:p>
            <w:pPr>
              <w:spacing w:after="0"/>
              <w:rPr>
                <w:sz w:val="18"/>
                <w:szCs w:val="18"/>
                <w:color w:val="auto"/>
              </w:rPr>
            </w:pPr>
          </w:p>
        </w:tc>
        <w:tc>
          <w:tcPr>
            <w:tcW w:w="460" w:type="dxa"/>
            <w:vAlign w:val="bottom"/>
            <w:gridSpan w:val="2"/>
          </w:tcPr>
          <w:p>
            <w:pPr>
              <w:spacing w:after="0"/>
              <w:rPr>
                <w:sz w:val="18"/>
                <w:szCs w:val="18"/>
                <w:color w:val="auto"/>
              </w:rPr>
            </w:pPr>
          </w:p>
        </w:tc>
        <w:tc>
          <w:tcPr>
            <w:tcW w:w="6340" w:type="dxa"/>
            <w:vAlign w:val="bottom"/>
            <w:gridSpan w:val="3"/>
          </w:tcPr>
          <w:p>
            <w:pPr>
              <w:jc w:val="center"/>
              <w:ind w:left="6073"/>
              <w:spacing w:after="0"/>
              <w:rPr>
                <w:rFonts w:ascii="Arial" w:cs="Arial" w:eastAsia="Arial" w:hAnsi="Arial"/>
                <w:sz w:val="18"/>
                <w:szCs w:val="18"/>
                <w:color w:val="0000FF"/>
                <w:w w:val="89"/>
              </w:rPr>
            </w:pPr>
            <w:hyperlink w:anchor="page100">
              <w:r>
                <w:rPr>
                  <w:rFonts w:ascii="Arial" w:cs="Arial" w:eastAsia="Arial" w:hAnsi="Arial"/>
                  <w:sz w:val="18"/>
                  <w:szCs w:val="18"/>
                  <w:color w:val="0000FF"/>
                  <w:w w:val="89"/>
                </w:rPr>
                <w:t>96</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680" w:type="dxa"/>
            <w:vAlign w:val="bottom"/>
            <w:gridSpan w:val="6"/>
          </w:tcPr>
          <w:p>
            <w:pPr>
              <w:spacing w:after="0"/>
              <w:rPr>
                <w:rFonts w:ascii="Arial" w:cs="Arial" w:eastAsia="Arial" w:hAnsi="Arial"/>
                <w:sz w:val="18"/>
                <w:szCs w:val="18"/>
                <w:color w:val="0000FF"/>
                <w:w w:val="89"/>
              </w:rPr>
            </w:pPr>
            <w:hyperlink w:anchor="page101">
              <w:r>
                <w:rPr>
                  <w:rFonts w:ascii="Arial" w:cs="Arial" w:eastAsia="Arial" w:hAnsi="Arial"/>
                  <w:sz w:val="18"/>
                  <w:szCs w:val="18"/>
                  <w:color w:val="0000FF"/>
                  <w:w w:val="89"/>
                </w:rPr>
                <w:t>Consolidated Statements of Operations and Comprehensive Loss</w:t>
              </w:r>
            </w:hyperlink>
          </w:p>
        </w:tc>
        <w:tc>
          <w:tcPr>
            <w:tcW w:w="6340" w:type="dxa"/>
            <w:vAlign w:val="bottom"/>
            <w:gridSpan w:val="3"/>
          </w:tcPr>
          <w:p>
            <w:pPr>
              <w:jc w:val="center"/>
              <w:ind w:left="6073"/>
              <w:spacing w:after="0"/>
              <w:rPr>
                <w:rFonts w:ascii="Arial" w:cs="Arial" w:eastAsia="Arial" w:hAnsi="Arial"/>
                <w:sz w:val="18"/>
                <w:szCs w:val="18"/>
                <w:color w:val="0000FF"/>
                <w:w w:val="89"/>
              </w:rPr>
            </w:pPr>
            <w:hyperlink w:anchor="page101">
              <w:r>
                <w:rPr>
                  <w:rFonts w:ascii="Arial" w:cs="Arial" w:eastAsia="Arial" w:hAnsi="Arial"/>
                  <w:sz w:val="18"/>
                  <w:szCs w:val="18"/>
                  <w:color w:val="0000FF"/>
                  <w:w w:val="89"/>
                </w:rPr>
                <w:t>97</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80" w:type="dxa"/>
            <w:vAlign w:val="bottom"/>
            <w:gridSpan w:val="6"/>
          </w:tcPr>
          <w:p>
            <w:pPr>
              <w:spacing w:after="0"/>
              <w:rPr>
                <w:rFonts w:ascii="Arial" w:cs="Arial" w:eastAsia="Arial" w:hAnsi="Arial"/>
                <w:sz w:val="18"/>
                <w:szCs w:val="18"/>
                <w:color w:val="0000FF"/>
                <w:w w:val="96"/>
              </w:rPr>
            </w:pPr>
            <w:hyperlink w:anchor="page102">
              <w:r>
                <w:rPr>
                  <w:rFonts w:ascii="Arial" w:cs="Arial" w:eastAsia="Arial" w:hAnsi="Arial"/>
                  <w:sz w:val="18"/>
                  <w:szCs w:val="18"/>
                  <w:color w:val="0000FF"/>
                  <w:w w:val="96"/>
                </w:rPr>
                <w:t>Consolidated Statements of Changes in Stockholders’ Equity</w:t>
              </w:r>
            </w:hyperlink>
          </w:p>
        </w:tc>
        <w:tc>
          <w:tcPr>
            <w:tcW w:w="6340" w:type="dxa"/>
            <w:vAlign w:val="bottom"/>
            <w:gridSpan w:val="3"/>
          </w:tcPr>
          <w:p>
            <w:pPr>
              <w:jc w:val="center"/>
              <w:ind w:left="6073"/>
              <w:spacing w:after="0"/>
              <w:rPr>
                <w:rFonts w:ascii="Arial" w:cs="Arial" w:eastAsia="Arial" w:hAnsi="Arial"/>
                <w:sz w:val="18"/>
                <w:szCs w:val="18"/>
                <w:color w:val="0000FF"/>
                <w:w w:val="89"/>
              </w:rPr>
            </w:pPr>
            <w:hyperlink w:anchor="page102">
              <w:r>
                <w:rPr>
                  <w:rFonts w:ascii="Arial" w:cs="Arial" w:eastAsia="Arial" w:hAnsi="Arial"/>
                  <w:sz w:val="18"/>
                  <w:szCs w:val="18"/>
                  <w:color w:val="0000FF"/>
                  <w:w w:val="89"/>
                </w:rPr>
                <w:t>98</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880" w:type="dxa"/>
            <w:vAlign w:val="bottom"/>
            <w:gridSpan w:val="2"/>
          </w:tcPr>
          <w:p>
            <w:pPr>
              <w:spacing w:after="0"/>
              <w:rPr>
                <w:rFonts w:ascii="Arial" w:cs="Arial" w:eastAsia="Arial" w:hAnsi="Arial"/>
                <w:sz w:val="18"/>
                <w:szCs w:val="18"/>
                <w:color w:val="0000FF"/>
                <w:w w:val="89"/>
              </w:rPr>
            </w:pPr>
            <w:hyperlink w:anchor="page103">
              <w:r>
                <w:rPr>
                  <w:rFonts w:ascii="Arial" w:cs="Arial" w:eastAsia="Arial" w:hAnsi="Arial"/>
                  <w:sz w:val="18"/>
                  <w:szCs w:val="18"/>
                  <w:color w:val="0000FF"/>
                  <w:w w:val="89"/>
                </w:rPr>
                <w:t>Consolidated Statements of Cash Flows</w:t>
              </w:r>
            </w:hyperlink>
          </w:p>
        </w:tc>
        <w:tc>
          <w:tcPr>
            <w:tcW w:w="152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6340" w:type="dxa"/>
            <w:vAlign w:val="bottom"/>
            <w:gridSpan w:val="3"/>
          </w:tcPr>
          <w:p>
            <w:pPr>
              <w:jc w:val="center"/>
              <w:ind w:left="6073"/>
              <w:spacing w:after="0"/>
              <w:rPr>
                <w:rFonts w:ascii="Arial" w:cs="Arial" w:eastAsia="Arial" w:hAnsi="Arial"/>
                <w:sz w:val="18"/>
                <w:szCs w:val="18"/>
                <w:color w:val="0000FF"/>
                <w:w w:val="89"/>
              </w:rPr>
            </w:pPr>
            <w:hyperlink w:anchor="page103">
              <w:r>
                <w:rPr>
                  <w:rFonts w:ascii="Arial" w:cs="Arial" w:eastAsia="Arial" w:hAnsi="Arial"/>
                  <w:sz w:val="18"/>
                  <w:szCs w:val="18"/>
                  <w:color w:val="0000FF"/>
                  <w:w w:val="89"/>
                </w:rPr>
                <w:t>99</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16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104">
              <w:r>
                <w:rPr>
                  <w:rFonts w:ascii="Arial" w:cs="Arial" w:eastAsia="Arial" w:hAnsi="Arial"/>
                  <w:sz w:val="18"/>
                  <w:szCs w:val="18"/>
                  <w:color w:val="0000FF"/>
                  <w:w w:val="89"/>
                </w:rPr>
                <w:t>Notes to Consolidated Financial Statements</w:t>
              </w:r>
            </w:hyperlink>
          </w:p>
        </w:tc>
        <w:tc>
          <w:tcPr>
            <w:tcW w:w="1520" w:type="dxa"/>
            <w:vAlign w:val="bottom"/>
            <w:gridSpan w:val="3"/>
          </w:tcPr>
          <w:p>
            <w:pPr>
              <w:spacing w:after="0"/>
              <w:rPr>
                <w:sz w:val="18"/>
                <w:szCs w:val="18"/>
                <w:color w:val="auto"/>
              </w:rPr>
            </w:pPr>
          </w:p>
        </w:tc>
        <w:tc>
          <w:tcPr>
            <w:tcW w:w="6100" w:type="dxa"/>
            <w:vAlign w:val="bottom"/>
          </w:tcPr>
          <w:p>
            <w:pPr>
              <w:spacing w:after="0"/>
              <w:rPr>
                <w:sz w:val="18"/>
                <w:szCs w:val="18"/>
                <w:color w:val="auto"/>
              </w:rPr>
            </w:pPr>
          </w:p>
        </w:tc>
        <w:tc>
          <w:tcPr>
            <w:tcW w:w="280" w:type="dxa"/>
            <w:vAlign w:val="bottom"/>
            <w:tcBorders>
              <w:bottom w:val="single" w:sz="8" w:color="0000FF"/>
            </w:tcBorders>
            <w:gridSpan w:val="3"/>
          </w:tcPr>
          <w:p>
            <w:pPr>
              <w:jc w:val="center"/>
              <w:spacing w:after="0"/>
              <w:rPr>
                <w:rFonts w:ascii="Arial" w:cs="Arial" w:eastAsia="Arial" w:hAnsi="Arial"/>
                <w:sz w:val="18"/>
                <w:szCs w:val="18"/>
                <w:color w:val="0000FF"/>
                <w:w w:val="93"/>
              </w:rPr>
            </w:pPr>
            <w:hyperlink w:anchor="page104">
              <w:r>
                <w:rPr>
                  <w:rFonts w:ascii="Arial" w:cs="Arial" w:eastAsia="Arial" w:hAnsi="Arial"/>
                  <w:sz w:val="18"/>
                  <w:szCs w:val="18"/>
                  <w:color w:val="0000FF"/>
                  <w:w w:val="93"/>
                </w:rPr>
                <w:t>100</w:t>
              </w:r>
            </w:hyperlink>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1417" w:right="479" w:bottom="1440" w:gutter="0" w:footer="0" w:header="0"/>
        </w:sectPr>
      </w:pPr>
    </w:p>
    <w:bookmarkStart w:id="99" w:name="page100"/>
    <w:bookmarkEnd w:id="99"/>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Seer,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We have audited the accompanying consolidated balance sheets of Seer, Inc. and subsidiaries (the Company) as of December 31, 2020 and 2019, the related consolidated statements of operations and comprehensive loss, changes in stockholders'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1440" w:right="35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333,585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4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98,278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20" w:type="dxa"/>
            <w:vAlign w:val="bottom"/>
          </w:tcPr>
          <w:p>
            <w:pPr>
              <w:ind w:left="240"/>
              <w:spacing w:after="0"/>
              <w:rPr>
                <w:sz w:val="20"/>
                <w:szCs w:val="20"/>
                <w:color w:val="auto"/>
              </w:rPr>
            </w:pPr>
            <w:r>
              <w:rPr>
                <w:rFonts w:ascii="Arial" w:cs="Arial" w:eastAsia="Arial" w:hAnsi="Arial"/>
                <w:sz w:val="18"/>
                <w:szCs w:val="18"/>
                <w:color w:val="auto"/>
              </w:rPr>
              <w:t>Other receivables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receivables, related parties</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433,128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86,806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7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442,319</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93,236</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40"/>
              <w:spacing w:after="0"/>
              <w:rPr>
                <w:sz w:val="20"/>
                <w:szCs w:val="20"/>
                <w:color w:val="auto"/>
              </w:rPr>
            </w:pPr>
            <w:r>
              <w:rPr>
                <w:rFonts w:ascii="Arial" w:cs="Arial" w:eastAsia="Arial" w:hAnsi="Arial"/>
                <w:sz w:val="18"/>
                <w:szCs w:val="18"/>
                <w:color w:val="auto"/>
              </w:rPr>
              <w:t>Accrued research and development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40"/>
              <w:spacing w:after="0"/>
              <w:rPr>
                <w:sz w:val="20"/>
                <w:szCs w:val="20"/>
                <w:color w:val="auto"/>
              </w:rPr>
            </w:pPr>
            <w:r>
              <w:rPr>
                <w:rFonts w:ascii="Arial" w:cs="Arial" w:eastAsia="Arial" w:hAnsi="Arial"/>
                <w:sz w:val="18"/>
                <w:szCs w:val="18"/>
                <w:color w:val="auto"/>
              </w:rPr>
              <w:t>Deferred rent, current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Deferred rent, net of current portion</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92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(Note 10)</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9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Convertible preferred stock, $0.00001 par value; zero and 22,173,245 shares authorized as of December</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89"/>
              </w:rPr>
              <w:t>31, 2020 and 2019, respectively; zero and 22,173,216 shares issued and outstanding as of December 31,</w:t>
            </w:r>
          </w:p>
        </w:tc>
        <w:tc>
          <w:tcPr>
            <w:tcW w:w="38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107,953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2020 and 2019, respectively</w:t>
            </w:r>
          </w:p>
        </w:tc>
        <w:tc>
          <w:tcPr>
            <w:tcW w:w="3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20" w:type="dxa"/>
            <w:vAlign w:val="bottom"/>
          </w:tcPr>
          <w:p>
            <w:pPr>
              <w:ind w:left="240"/>
              <w:spacing w:after="0" w:line="176" w:lineRule="exact"/>
              <w:rPr>
                <w:sz w:val="20"/>
                <w:szCs w:val="20"/>
                <w:color w:val="auto"/>
              </w:rPr>
            </w:pPr>
            <w:r>
              <w:rPr>
                <w:rFonts w:ascii="Arial" w:cs="Arial" w:eastAsia="Arial" w:hAnsi="Arial"/>
                <w:sz w:val="18"/>
                <w:szCs w:val="18"/>
                <w:color w:val="auto"/>
                <w:w w:val="91"/>
              </w:rPr>
              <w:t>Preferred stock, $0.00001 par value; 5,000,000 and zero shares authorized as of December 31, 2020 and</w:t>
            </w:r>
          </w:p>
        </w:tc>
        <w:tc>
          <w:tcPr>
            <w:tcW w:w="380" w:type="dxa"/>
            <w:vAlign w:val="bottom"/>
          </w:tcPr>
          <w:p>
            <w:pPr>
              <w:spacing w:after="0"/>
              <w:rPr>
                <w:sz w:val="15"/>
                <w:szCs w:val="15"/>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5"/>
                <w:szCs w:val="15"/>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400"/>
              <w:spacing w:after="0"/>
              <w:rPr>
                <w:sz w:val="20"/>
                <w:szCs w:val="20"/>
                <w:color w:val="auto"/>
              </w:rPr>
            </w:pPr>
            <w:r>
              <w:rPr>
                <w:rFonts w:ascii="Arial" w:cs="Arial" w:eastAsia="Arial" w:hAnsi="Arial"/>
                <w:sz w:val="18"/>
                <w:szCs w:val="18"/>
                <w:color w:val="auto"/>
                <w:w w:val="90"/>
              </w:rPr>
              <w:t>2019, respectively; zero shares issued and outstanding as of December 31, 2020 and 2019, respectively</w:t>
            </w:r>
          </w:p>
        </w:tc>
        <w:tc>
          <w:tcPr>
            <w:tcW w:w="3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9"/>
              </w:rPr>
              <w:t>Class A common stock, $0.00001 par value; 94,000,000 and 42,757,009 shares authorized as of</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89"/>
              </w:rPr>
              <w:t>December 31, 2020 and 2019, respectively; 53,395,319 and 2,847,893 shares issued and outstanding as</w:t>
            </w: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of December 31, 2020 and 2019, respectively;</w:t>
            </w: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20" w:type="dxa"/>
            <w:vAlign w:val="bottom"/>
          </w:tcPr>
          <w:p>
            <w:pPr>
              <w:ind w:left="240"/>
              <w:spacing w:after="0" w:line="176" w:lineRule="exact"/>
              <w:rPr>
                <w:sz w:val="20"/>
                <w:szCs w:val="20"/>
                <w:color w:val="auto"/>
              </w:rPr>
            </w:pPr>
            <w:r>
              <w:rPr>
                <w:rFonts w:ascii="Arial" w:cs="Arial" w:eastAsia="Arial" w:hAnsi="Arial"/>
                <w:sz w:val="18"/>
                <w:szCs w:val="18"/>
                <w:color w:val="auto"/>
                <w:w w:val="91"/>
              </w:rPr>
              <w:t>Class B common stock, $0.00001 par value; 6,000,000 and 9,345,794 shares authorized as of December</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20" w:type="dxa"/>
            <w:vAlign w:val="bottom"/>
          </w:tcPr>
          <w:p>
            <w:pPr>
              <w:ind w:left="400"/>
              <w:spacing w:after="0" w:line="176" w:lineRule="exact"/>
              <w:rPr>
                <w:sz w:val="20"/>
                <w:szCs w:val="20"/>
                <w:color w:val="auto"/>
              </w:rPr>
            </w:pPr>
            <w:r>
              <w:rPr>
                <w:rFonts w:ascii="Arial" w:cs="Arial" w:eastAsia="Arial" w:hAnsi="Arial"/>
                <w:sz w:val="18"/>
                <w:szCs w:val="18"/>
                <w:color w:val="auto"/>
                <w:w w:val="98"/>
              </w:rPr>
              <w:t>31, 2020 and 2019, respectively; 5,865,732 and 9,345,874 shares issued and outstanding as of</w:t>
            </w:r>
          </w:p>
        </w:tc>
        <w:tc>
          <w:tcPr>
            <w:tcW w:w="380" w:type="dxa"/>
            <w:vAlign w:val="bottom"/>
          </w:tcPr>
          <w:p>
            <w:pPr>
              <w:spacing w:after="0"/>
              <w:rPr>
                <w:sz w:val="15"/>
                <w:szCs w:val="15"/>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5"/>
                <w:szCs w:val="15"/>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400"/>
              <w:spacing w:after="0"/>
              <w:rPr>
                <w:sz w:val="20"/>
                <w:szCs w:val="20"/>
                <w:color w:val="auto"/>
              </w:rPr>
            </w:pPr>
            <w:r>
              <w:rPr>
                <w:rFonts w:ascii="Arial" w:cs="Arial" w:eastAsia="Arial" w:hAnsi="Arial"/>
                <w:sz w:val="18"/>
                <w:szCs w:val="18"/>
                <w:color w:val="auto"/>
              </w:rPr>
              <w:t>December 31, 2020 and 2019, respectively;</w:t>
            </w:r>
          </w:p>
        </w:tc>
        <w:tc>
          <w:tcPr>
            <w:tcW w:w="3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486,915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(55,361)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(22,586)</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7920" w:type="dxa"/>
            <w:vAlign w:val="bottom"/>
          </w:tcPr>
          <w:p>
            <w:pPr>
              <w:ind w:left="46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431,609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442,319</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93,236</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240"/>
          </w:cols>
          <w:pgMar w:left="320" w:top="121" w:right="33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79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97"/>
        </w:trPr>
        <w:tc>
          <w:tcPr>
            <w:tcW w:w="7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70"/>
        </w:trPr>
        <w:tc>
          <w:tcPr>
            <w:tcW w:w="7920" w:type="dxa"/>
            <w:vAlign w:val="bottom"/>
          </w:tcPr>
          <w:p>
            <w:pPr>
              <w:ind w:left="240"/>
              <w:spacing w:after="0"/>
              <w:rPr>
                <w:sz w:val="20"/>
                <w:szCs w:val="20"/>
                <w:color w:val="auto"/>
              </w:rPr>
            </w:pPr>
            <w:r>
              <w:rPr>
                <w:rFonts w:ascii="Arial" w:cs="Arial" w:eastAsia="Arial" w:hAnsi="Arial"/>
                <w:sz w:val="18"/>
                <w:szCs w:val="18"/>
                <w:color w:val="auto"/>
              </w:rPr>
              <w:t>Research revenue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r>
      <w:tr>
        <w:trPr>
          <w:trHeight w:val="27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 revenue</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r>
      <w:tr>
        <w:trPr>
          <w:trHeight w:val="250"/>
        </w:trPr>
        <w:tc>
          <w:tcPr>
            <w:tcW w:w="792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70"/>
        </w:trPr>
        <w:tc>
          <w:tcPr>
            <w:tcW w:w="79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18,942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12,393</w:t>
            </w:r>
          </w:p>
        </w:tc>
        <w:tc>
          <w:tcPr>
            <w:tcW w:w="100" w:type="dxa"/>
            <w:vAlign w:val="bottom"/>
          </w:tcPr>
          <w:p>
            <w:pPr>
              <w:spacing w:after="0"/>
              <w:rPr>
                <w:sz w:val="23"/>
                <w:szCs w:val="23"/>
                <w:color w:val="auto"/>
              </w:rPr>
            </w:pPr>
          </w:p>
        </w:tc>
      </w:tr>
      <w:tr>
        <w:trPr>
          <w:trHeight w:val="27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100" w:type="dxa"/>
            <w:vAlign w:val="bottom"/>
            <w:shd w:val="clear" w:color="auto" w:fill="CCEEFF"/>
          </w:tcPr>
          <w:p>
            <w:pPr>
              <w:spacing w:after="0"/>
              <w:rPr>
                <w:sz w:val="23"/>
                <w:szCs w:val="23"/>
                <w:color w:val="auto"/>
              </w:rPr>
            </w:pPr>
          </w:p>
        </w:tc>
      </w:tr>
      <w:tr>
        <w:trPr>
          <w:trHeight w:val="250"/>
        </w:trPr>
        <w:tc>
          <w:tcPr>
            <w:tcW w:w="79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16,999</w:t>
            </w:r>
          </w:p>
        </w:tc>
        <w:tc>
          <w:tcPr>
            <w:tcW w:w="100" w:type="dxa"/>
            <w:vAlign w:val="bottom"/>
            <w:tcBorders>
              <w:bottom w:val="single" w:sz="8" w:color="CCEEFF"/>
            </w:tcBorders>
          </w:tcPr>
          <w:p>
            <w:pPr>
              <w:spacing w:after="0"/>
              <w:rPr>
                <w:sz w:val="21"/>
                <w:szCs w:val="21"/>
                <w:color w:val="auto"/>
              </w:rPr>
            </w:pPr>
          </w:p>
        </w:tc>
      </w:tr>
      <w:tr>
        <w:trPr>
          <w:trHeight w:val="25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(16,883)</w:t>
            </w:r>
          </w:p>
        </w:tc>
        <w:tc>
          <w:tcPr>
            <w:tcW w:w="100" w:type="dxa"/>
            <w:vAlign w:val="bottom"/>
            <w:shd w:val="clear" w:color="auto" w:fill="CCEEFF"/>
          </w:tcPr>
          <w:p>
            <w:pPr>
              <w:spacing w:after="0"/>
              <w:rPr>
                <w:sz w:val="21"/>
                <w:szCs w:val="21"/>
                <w:color w:val="auto"/>
              </w:rPr>
            </w:pP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3"/>
                <w:szCs w:val="23"/>
                <w:color w:val="auto"/>
              </w:rPr>
            </w:pPr>
          </w:p>
        </w:tc>
      </w:tr>
      <w:tr>
        <w:trPr>
          <w:trHeight w:val="270"/>
        </w:trPr>
        <w:tc>
          <w:tcPr>
            <w:tcW w:w="79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r>
      <w:tr>
        <w:trPr>
          <w:trHeight w:val="27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expense</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0"/>
        </w:trPr>
        <w:tc>
          <w:tcPr>
            <w:tcW w:w="79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w:t>
            </w:r>
          </w:p>
        </w:tc>
        <w:tc>
          <w:tcPr>
            <w:tcW w:w="3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tcPr>
          <w:p>
            <w:pPr>
              <w:spacing w:after="0"/>
              <w:rPr>
                <w:sz w:val="21"/>
                <w:szCs w:val="21"/>
                <w:color w:val="auto"/>
              </w:rPr>
            </w:pPr>
          </w:p>
        </w:tc>
      </w:tr>
      <w:tr>
        <w:trPr>
          <w:trHeight w:val="25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(32,775)</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(16,038)</w:t>
            </w:r>
          </w:p>
        </w:tc>
        <w:tc>
          <w:tcPr>
            <w:tcW w:w="100" w:type="dxa"/>
            <w:vAlign w:val="bottom"/>
            <w:shd w:val="clear" w:color="auto" w:fill="CCEEFF"/>
          </w:tcPr>
          <w:p>
            <w:pPr>
              <w:spacing w:after="0"/>
              <w:rPr>
                <w:sz w:val="21"/>
                <w:szCs w:val="21"/>
                <w:color w:val="auto"/>
              </w:rPr>
            </w:pP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 on available-for-sale securities</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(16,014)</w:t>
            </w:r>
          </w:p>
        </w:tc>
        <w:tc>
          <w:tcPr>
            <w:tcW w:w="100" w:type="dxa"/>
            <w:vAlign w:val="bottom"/>
          </w:tcPr>
          <w:p>
            <w:pPr>
              <w:spacing w:after="0"/>
              <w:rPr>
                <w:sz w:val="19"/>
                <w:szCs w:val="19"/>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89"/>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44"/>
        </w:trPr>
        <w:tc>
          <w:tcPr>
            <w:tcW w:w="792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13,216,657</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6,952,419</w:t>
            </w:r>
          </w:p>
        </w:tc>
        <w:tc>
          <w:tcPr>
            <w:tcW w:w="100" w:type="dxa"/>
            <w:vAlign w:val="bottom"/>
          </w:tcPr>
          <w:p>
            <w:pPr>
              <w:spacing w:after="0"/>
              <w:rPr>
                <w:sz w:val="21"/>
                <w:szCs w:val="21"/>
                <w:color w:val="auto"/>
              </w:rPr>
            </w:pPr>
          </w:p>
        </w:tc>
      </w:tr>
      <w:tr>
        <w:trPr>
          <w:trHeight w:val="20"/>
        </w:trPr>
        <w:tc>
          <w:tcPr>
            <w:tcW w:w="7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Class A and Class B</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39"/>
              <w:spacing w:after="0" w:line="142" w:lineRule="exact"/>
              <w:rPr>
                <w:sz w:val="20"/>
                <w:szCs w:val="20"/>
                <w:color w:val="auto"/>
              </w:rPr>
            </w:pPr>
            <w:r>
              <w:rPr>
                <w:rFonts w:ascii="Arial" w:cs="Arial" w:eastAsia="Arial" w:hAnsi="Arial"/>
                <w:sz w:val="14"/>
                <w:szCs w:val="14"/>
                <w:b w:val="1"/>
                <w:bCs w:val="1"/>
                <w:color w:val="auto"/>
                <w:w w:val="99"/>
              </w:rPr>
              <w:t>Convertible Preferred Stock</w:t>
            </w:r>
          </w:p>
        </w:tc>
        <w:tc>
          <w:tcPr>
            <w:tcW w:w="80" w:type="dxa"/>
            <w:vAlign w:val="bottom"/>
          </w:tcPr>
          <w:p>
            <w:pPr>
              <w:spacing w:after="0"/>
              <w:rPr>
                <w:sz w:val="14"/>
                <w:szCs w:val="14"/>
                <w:color w:val="auto"/>
              </w:rPr>
            </w:pPr>
          </w:p>
        </w:tc>
        <w:tc>
          <w:tcPr>
            <w:tcW w:w="1940" w:type="dxa"/>
            <w:vAlign w:val="bottom"/>
            <w:tcBorders>
              <w:bottom w:val="single" w:sz="8" w:color="auto"/>
            </w:tcBorders>
            <w:gridSpan w:val="4"/>
          </w:tcPr>
          <w:p>
            <w:pPr>
              <w:jc w:val="right"/>
              <w:ind w:right="419"/>
              <w:spacing w:after="0" w:line="142" w:lineRule="exact"/>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Paid in</w:t>
            </w:r>
          </w:p>
        </w:tc>
        <w:tc>
          <w:tcPr>
            <w:tcW w:w="12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Income</w:t>
            </w:r>
          </w:p>
        </w:tc>
        <w:tc>
          <w:tcPr>
            <w:tcW w:w="20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29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10,994,225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35,812</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12,204,686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(6,548)</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29,975</w:t>
            </w:r>
          </w:p>
        </w:tc>
        <w:tc>
          <w:tcPr>
            <w:tcW w:w="0" w:type="dxa"/>
            <w:vAlign w:val="bottom"/>
          </w:tcPr>
          <w:p>
            <w:pPr>
              <w:spacing w:after="0"/>
              <w:rPr>
                <w:sz w:val="1"/>
                <w:szCs w:val="1"/>
                <w:color w:val="auto"/>
              </w:rPr>
            </w:pPr>
          </w:p>
        </w:tc>
      </w:tr>
      <w:tr>
        <w:trPr>
          <w:trHeight w:val="166"/>
        </w:trPr>
        <w:tc>
          <w:tcPr>
            <w:tcW w:w="2920" w:type="dxa"/>
            <w:vAlign w:val="bottom"/>
          </w:tcPr>
          <w:p>
            <w:pPr>
              <w:ind w:left="140"/>
              <w:spacing w:after="0" w:line="166" w:lineRule="exact"/>
              <w:rPr>
                <w:sz w:val="20"/>
                <w:szCs w:val="20"/>
                <w:color w:val="auto"/>
              </w:rPr>
            </w:pPr>
            <w:r>
              <w:rPr>
                <w:rFonts w:ascii="Arial" w:cs="Arial" w:eastAsia="Arial" w:hAnsi="Arial"/>
                <w:sz w:val="16"/>
                <w:szCs w:val="16"/>
                <w:color w:val="auto"/>
                <w:w w:val="96"/>
              </w:rPr>
              <w:t>Issuance of Class A common stock from</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133,850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920" w:type="dxa"/>
            <w:vAlign w:val="bottom"/>
          </w:tcPr>
          <w:p>
            <w:pPr>
              <w:ind w:left="300"/>
              <w:spacing w:after="0"/>
              <w:rPr>
                <w:sz w:val="20"/>
                <w:szCs w:val="20"/>
                <w:color w:val="auto"/>
              </w:rPr>
            </w:pPr>
            <w:r>
              <w:rPr>
                <w:rFonts w:ascii="Arial" w:cs="Arial" w:eastAsia="Arial" w:hAnsi="Arial"/>
                <w:sz w:val="16"/>
                <w:szCs w:val="16"/>
                <w:color w:val="auto"/>
              </w:rPr>
              <w:t>exercise of options</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Class A common stock</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(144,859)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920" w:type="dxa"/>
            <w:vAlign w:val="bottom"/>
          </w:tcPr>
          <w:p>
            <w:pPr>
              <w:ind w:left="140"/>
              <w:spacing w:after="0" w:line="166" w:lineRule="exact"/>
              <w:rPr>
                <w:sz w:val="20"/>
                <w:szCs w:val="20"/>
                <w:color w:val="auto"/>
              </w:rPr>
            </w:pPr>
            <w:r>
              <w:rPr>
                <w:rFonts w:ascii="Arial" w:cs="Arial" w:eastAsia="Arial" w:hAnsi="Arial"/>
                <w:sz w:val="16"/>
                <w:szCs w:val="16"/>
                <w:color w:val="auto"/>
                <w:w w:val="98"/>
              </w:rPr>
              <w:t>Vesting of early exercised stock options</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2920" w:type="dxa"/>
            <w:vAlign w:val="bottom"/>
          </w:tcPr>
          <w:p>
            <w:pPr>
              <w:ind w:left="300"/>
              <w:spacing w:after="0"/>
              <w:rPr>
                <w:sz w:val="20"/>
                <w:szCs w:val="20"/>
                <w:color w:val="auto"/>
              </w:rPr>
            </w:pPr>
            <w:r>
              <w:rPr>
                <w:rFonts w:ascii="Arial" w:cs="Arial" w:eastAsia="Arial" w:hAnsi="Arial"/>
                <w:sz w:val="16"/>
                <w:szCs w:val="16"/>
                <w:color w:val="auto"/>
              </w:rPr>
              <w:t>and restricted common stock</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2"/>
              </w:rPr>
              <w:t>Issuance of Series C convertible preferred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3,271,023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17,347</w:t>
            </w:r>
          </w:p>
        </w:tc>
        <w:tc>
          <w:tcPr>
            <w:tcW w:w="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17,347</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 net of issuance costs of $153</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920" w:type="dxa"/>
            <w:vAlign w:val="bottom"/>
          </w:tcPr>
          <w:p>
            <w:pPr>
              <w:ind w:left="140"/>
              <w:spacing w:after="0" w:line="166" w:lineRule="exact"/>
              <w:rPr>
                <w:sz w:val="20"/>
                <w:szCs w:val="20"/>
                <w:color w:val="auto"/>
              </w:rPr>
            </w:pPr>
            <w:r>
              <w:rPr>
                <w:rFonts w:ascii="Arial" w:cs="Arial" w:eastAsia="Arial" w:hAnsi="Arial"/>
                <w:sz w:val="16"/>
                <w:szCs w:val="16"/>
                <w:color w:val="auto"/>
                <w:w w:val="92"/>
              </w:rPr>
              <w:t>Issuance of Series D convertible preferred</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7,849,737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54,389</w:t>
            </w:r>
          </w:p>
        </w:tc>
        <w:tc>
          <w:tcPr>
            <w:tcW w:w="8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54,389</w:t>
            </w:r>
          </w:p>
        </w:tc>
        <w:tc>
          <w:tcPr>
            <w:tcW w:w="0" w:type="dxa"/>
            <w:vAlign w:val="bottom"/>
          </w:tcPr>
          <w:p>
            <w:pPr>
              <w:spacing w:after="0"/>
              <w:rPr>
                <w:sz w:val="1"/>
                <w:szCs w:val="1"/>
                <w:color w:val="auto"/>
              </w:rPr>
            </w:pPr>
          </w:p>
        </w:tc>
      </w:tr>
      <w:tr>
        <w:trPr>
          <w:trHeight w:val="209"/>
        </w:trPr>
        <w:tc>
          <w:tcPr>
            <w:tcW w:w="2920" w:type="dxa"/>
            <w:vAlign w:val="bottom"/>
          </w:tcPr>
          <w:p>
            <w:pPr>
              <w:ind w:left="300"/>
              <w:spacing w:after="0"/>
              <w:rPr>
                <w:sz w:val="20"/>
                <w:szCs w:val="20"/>
                <w:color w:val="auto"/>
              </w:rPr>
            </w:pPr>
            <w:r>
              <w:rPr>
                <w:rFonts w:ascii="Arial" w:cs="Arial" w:eastAsia="Arial" w:hAnsi="Arial"/>
                <w:sz w:val="16"/>
                <w:szCs w:val="16"/>
                <w:color w:val="auto"/>
              </w:rPr>
              <w:t>stock, net of issuance costs of $206</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2"/>
              </w:rPr>
              <w:t>Issuance of Series D convertible preferred</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300"/>
              <w:spacing w:after="0" w:line="162" w:lineRule="exact"/>
              <w:rPr>
                <w:sz w:val="20"/>
                <w:szCs w:val="20"/>
                <w:color w:val="auto"/>
              </w:rPr>
            </w:pPr>
            <w:r>
              <w:rPr>
                <w:rFonts w:ascii="Arial" w:cs="Arial" w:eastAsia="Arial" w:hAnsi="Arial"/>
                <w:sz w:val="16"/>
                <w:szCs w:val="16"/>
                <w:color w:val="auto"/>
              </w:rPr>
              <w:t>stock upon extinguishment of</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58,231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convertible notes</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9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246"/>
        </w:trPr>
        <w:tc>
          <w:tcPr>
            <w:tcW w:w="2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40"/>
        </w:trPr>
        <w:tc>
          <w:tcPr>
            <w:tcW w:w="2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(16,038)</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(16,038)</w:t>
            </w:r>
          </w:p>
        </w:tc>
        <w:tc>
          <w:tcPr>
            <w:tcW w:w="0" w:type="dxa"/>
            <w:vAlign w:val="bottom"/>
          </w:tcPr>
          <w:p>
            <w:pPr>
              <w:spacing w:after="0"/>
              <w:rPr>
                <w:sz w:val="1"/>
                <w:szCs w:val="1"/>
                <w:color w:val="auto"/>
              </w:rPr>
            </w:pPr>
          </w:p>
        </w:tc>
      </w:tr>
      <w:tr>
        <w:trPr>
          <w:trHeight w:val="240"/>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22,173,216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107,953</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12,193,677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87,679</w:t>
            </w:r>
          </w:p>
        </w:tc>
        <w:tc>
          <w:tcPr>
            <w:tcW w:w="0" w:type="dxa"/>
            <w:vAlign w:val="bottom"/>
          </w:tcPr>
          <w:p>
            <w:pPr>
              <w:spacing w:after="0"/>
              <w:rPr>
                <w:sz w:val="1"/>
                <w:szCs w:val="1"/>
                <w:color w:val="auto"/>
              </w:rPr>
            </w:pPr>
          </w:p>
        </w:tc>
      </w:tr>
      <w:tr>
        <w:trPr>
          <w:trHeight w:val="166"/>
        </w:trPr>
        <w:tc>
          <w:tcPr>
            <w:tcW w:w="2920" w:type="dxa"/>
            <w:vAlign w:val="bottom"/>
          </w:tcPr>
          <w:p>
            <w:pPr>
              <w:ind w:left="140"/>
              <w:spacing w:after="0" w:line="166" w:lineRule="exact"/>
              <w:rPr>
                <w:sz w:val="20"/>
                <w:szCs w:val="20"/>
                <w:color w:val="auto"/>
              </w:rPr>
            </w:pPr>
            <w:r>
              <w:rPr>
                <w:rFonts w:ascii="Arial" w:cs="Arial" w:eastAsia="Arial" w:hAnsi="Arial"/>
                <w:sz w:val="16"/>
                <w:szCs w:val="16"/>
                <w:color w:val="auto"/>
                <w:w w:val="96"/>
              </w:rPr>
              <w:t>Issuance of Class A common stock from</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725,579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9"/>
        </w:trPr>
        <w:tc>
          <w:tcPr>
            <w:tcW w:w="2920" w:type="dxa"/>
            <w:vAlign w:val="bottom"/>
          </w:tcPr>
          <w:p>
            <w:pPr>
              <w:ind w:left="300"/>
              <w:spacing w:after="0"/>
              <w:rPr>
                <w:sz w:val="20"/>
                <w:szCs w:val="20"/>
                <w:color w:val="auto"/>
              </w:rPr>
            </w:pPr>
            <w:r>
              <w:rPr>
                <w:rFonts w:ascii="Arial" w:cs="Arial" w:eastAsia="Arial" w:hAnsi="Arial"/>
                <w:sz w:val="16"/>
                <w:szCs w:val="16"/>
                <w:color w:val="auto"/>
              </w:rPr>
              <w:t>exercise of options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Class A common stock</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(382,360)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920" w:type="dxa"/>
            <w:vAlign w:val="bottom"/>
          </w:tcPr>
          <w:p>
            <w:pPr>
              <w:ind w:left="140"/>
              <w:spacing w:after="0" w:line="166" w:lineRule="exact"/>
              <w:rPr>
                <w:sz w:val="20"/>
                <w:szCs w:val="20"/>
                <w:color w:val="auto"/>
              </w:rPr>
            </w:pPr>
            <w:r>
              <w:rPr>
                <w:rFonts w:ascii="Arial" w:cs="Arial" w:eastAsia="Arial" w:hAnsi="Arial"/>
                <w:sz w:val="16"/>
                <w:szCs w:val="16"/>
                <w:color w:val="auto"/>
                <w:w w:val="98"/>
              </w:rPr>
              <w:t>Vesting of early exercised stock options</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185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9"/>
        </w:trPr>
        <w:tc>
          <w:tcPr>
            <w:tcW w:w="2920" w:type="dxa"/>
            <w:vAlign w:val="bottom"/>
          </w:tcPr>
          <w:p>
            <w:pPr>
              <w:ind w:left="300"/>
              <w:spacing w:after="0"/>
              <w:rPr>
                <w:sz w:val="20"/>
                <w:szCs w:val="20"/>
                <w:color w:val="auto"/>
              </w:rPr>
            </w:pPr>
            <w:r>
              <w:rPr>
                <w:rFonts w:ascii="Arial" w:cs="Arial" w:eastAsia="Arial" w:hAnsi="Arial"/>
                <w:sz w:val="16"/>
                <w:szCs w:val="16"/>
                <w:color w:val="auto"/>
              </w:rPr>
              <w:t>and restricted common stock</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Issuance of Series D-1 convertible</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300"/>
              <w:spacing w:after="0" w:line="162" w:lineRule="exact"/>
              <w:rPr>
                <w:sz w:val="20"/>
                <w:szCs w:val="20"/>
                <w:color w:val="auto"/>
              </w:rPr>
            </w:pPr>
            <w:r>
              <w:rPr>
                <w:rFonts w:ascii="Arial" w:cs="Arial" w:eastAsia="Arial" w:hAnsi="Arial"/>
                <w:sz w:val="16"/>
                <w:szCs w:val="16"/>
                <w:color w:val="auto"/>
                <w:w w:val="91"/>
              </w:rPr>
              <w:t>preferred stock, net of issuance costs of</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6,853,571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54,896</w:t>
            </w:r>
          </w:p>
        </w:tc>
        <w:tc>
          <w:tcPr>
            <w:tcW w:w="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54,896</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$104</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920" w:type="dxa"/>
            <w:vAlign w:val="bottom"/>
          </w:tcPr>
          <w:p>
            <w:pPr>
              <w:ind w:left="140"/>
              <w:spacing w:after="0" w:line="166" w:lineRule="exact"/>
              <w:rPr>
                <w:sz w:val="20"/>
                <w:szCs w:val="20"/>
                <w:color w:val="auto"/>
              </w:rPr>
            </w:pPr>
            <w:r>
              <w:rPr>
                <w:rFonts w:ascii="Arial" w:cs="Arial" w:eastAsia="Arial" w:hAnsi="Arial"/>
                <w:sz w:val="16"/>
                <w:szCs w:val="16"/>
                <w:color w:val="auto"/>
                <w:w w:val="95"/>
              </w:rPr>
              <w:t>Issuance of Class A common stock upon</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300"/>
              <w:spacing w:after="0" w:line="162" w:lineRule="exact"/>
              <w:rPr>
                <w:sz w:val="20"/>
                <w:szCs w:val="20"/>
                <w:color w:val="auto"/>
              </w:rPr>
            </w:pPr>
            <w:r>
              <w:rPr>
                <w:rFonts w:ascii="Arial" w:cs="Arial" w:eastAsia="Arial" w:hAnsi="Arial"/>
                <w:sz w:val="16"/>
                <w:szCs w:val="16"/>
                <w:color w:val="auto"/>
              </w:rPr>
              <w:t>initial public offering, net of issuance</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10,592,106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183,866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183,866</w:t>
            </w:r>
          </w:p>
        </w:tc>
        <w:tc>
          <w:tcPr>
            <w:tcW w:w="0" w:type="dxa"/>
            <w:vAlign w:val="bottom"/>
          </w:tcPr>
          <w:p>
            <w:pPr>
              <w:spacing w:after="0"/>
              <w:rPr>
                <w:sz w:val="1"/>
                <w:szCs w:val="1"/>
                <w:color w:val="auto"/>
              </w:rPr>
            </w:pPr>
          </w:p>
        </w:tc>
      </w:tr>
      <w:tr>
        <w:trPr>
          <w:trHeight w:val="209"/>
        </w:trPr>
        <w:tc>
          <w:tcPr>
            <w:tcW w:w="2920" w:type="dxa"/>
            <w:vAlign w:val="bottom"/>
          </w:tcPr>
          <w:p>
            <w:pPr>
              <w:ind w:left="300"/>
              <w:spacing w:after="0"/>
              <w:rPr>
                <w:sz w:val="20"/>
                <w:szCs w:val="20"/>
                <w:color w:val="auto"/>
              </w:rPr>
            </w:pPr>
            <w:r>
              <w:rPr>
                <w:rFonts w:ascii="Arial" w:cs="Arial" w:eastAsia="Arial" w:hAnsi="Arial"/>
                <w:sz w:val="16"/>
                <w:szCs w:val="16"/>
                <w:color w:val="auto"/>
              </w:rPr>
              <w:t>costs of $17,277</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Issuance of Class A common stock in</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300"/>
              <w:spacing w:after="0" w:line="162" w:lineRule="exact"/>
              <w:rPr>
                <w:sz w:val="20"/>
                <w:szCs w:val="20"/>
                <w:color w:val="auto"/>
              </w:rPr>
            </w:pPr>
            <w:r>
              <w:rPr>
                <w:rFonts w:ascii="Arial" w:cs="Arial" w:eastAsia="Arial" w:hAnsi="Arial"/>
                <w:sz w:val="16"/>
                <w:szCs w:val="16"/>
                <w:color w:val="auto"/>
                <w:w w:val="95"/>
              </w:rPr>
              <w:t>connection with private placement, net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7,105,262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130,275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130,275</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of issuance costs of $4,725</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920" w:type="dxa"/>
            <w:vAlign w:val="bottom"/>
          </w:tcPr>
          <w:p>
            <w:pPr>
              <w:ind w:left="140"/>
              <w:spacing w:after="0" w:line="166" w:lineRule="exact"/>
              <w:rPr>
                <w:sz w:val="20"/>
                <w:szCs w:val="20"/>
                <w:color w:val="auto"/>
              </w:rPr>
            </w:pPr>
            <w:r>
              <w:rPr>
                <w:rFonts w:ascii="Arial" w:cs="Arial" w:eastAsia="Arial" w:hAnsi="Arial"/>
                <w:sz w:val="16"/>
                <w:szCs w:val="16"/>
                <w:color w:val="auto"/>
                <w:w w:val="94"/>
              </w:rPr>
              <w:t>Conversion of convertible preferred stock</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(29,026,787)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(162,849)</w:t>
            </w:r>
          </w:p>
        </w:tc>
        <w:tc>
          <w:tcPr>
            <w:tcW w:w="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29,026,787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162,848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920" w:type="dxa"/>
            <w:vAlign w:val="bottom"/>
          </w:tcPr>
          <w:p>
            <w:pPr>
              <w:ind w:left="300"/>
              <w:spacing w:after="0"/>
              <w:rPr>
                <w:sz w:val="20"/>
                <w:szCs w:val="20"/>
                <w:color w:val="auto"/>
              </w:rPr>
            </w:pPr>
            <w:r>
              <w:rPr>
                <w:rFonts w:ascii="Arial" w:cs="Arial" w:eastAsia="Arial" w:hAnsi="Arial"/>
                <w:sz w:val="16"/>
                <w:szCs w:val="16"/>
                <w:color w:val="auto"/>
              </w:rPr>
              <w:t>into Class A common stock</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7,348</w:t>
            </w:r>
          </w:p>
        </w:tc>
        <w:tc>
          <w:tcPr>
            <w:tcW w:w="0" w:type="dxa"/>
            <w:vAlign w:val="bottom"/>
          </w:tcPr>
          <w:p>
            <w:pPr>
              <w:spacing w:after="0"/>
              <w:rPr>
                <w:sz w:val="1"/>
                <w:szCs w:val="1"/>
                <w:color w:val="auto"/>
              </w:rPr>
            </w:pPr>
          </w:p>
        </w:tc>
      </w:tr>
      <w:tr>
        <w:trPr>
          <w:trHeight w:val="240"/>
        </w:trPr>
        <w:tc>
          <w:tcPr>
            <w:tcW w:w="2920" w:type="dxa"/>
            <w:vAlign w:val="bottom"/>
          </w:tcPr>
          <w:p>
            <w:pPr>
              <w:ind w:left="140"/>
              <w:spacing w:after="0"/>
              <w:rPr>
                <w:sz w:val="20"/>
                <w:szCs w:val="20"/>
                <w:color w:val="auto"/>
              </w:rPr>
            </w:pPr>
            <w:r>
              <w:rPr>
                <w:rFonts w:ascii="Arial" w:cs="Arial" w:eastAsia="Arial" w:hAnsi="Arial"/>
                <w:sz w:val="16"/>
                <w:szCs w:val="16"/>
                <w:color w:val="auto"/>
              </w:rPr>
              <w:t>Distribution of PrognomIQ shares</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6"/>
        </w:trPr>
        <w:tc>
          <w:tcPr>
            <w:tcW w:w="2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 30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40"/>
        </w:trPr>
        <w:tc>
          <w:tcPr>
            <w:tcW w:w="2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(32,775)</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(32,775)</w:t>
            </w:r>
          </w:p>
        </w:tc>
        <w:tc>
          <w:tcPr>
            <w:tcW w:w="0" w:type="dxa"/>
            <w:vAlign w:val="bottom"/>
          </w:tcPr>
          <w:p>
            <w:pPr>
              <w:spacing w:after="0"/>
              <w:rPr>
                <w:sz w:val="1"/>
                <w:szCs w:val="1"/>
                <w:color w:val="auto"/>
              </w:rPr>
            </w:pPr>
          </w:p>
        </w:tc>
      </w:tr>
      <w:tr>
        <w:trPr>
          <w:trHeight w:val="25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59,261,051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486,915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(55,361)</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431,609</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21" w:right="339" w:bottom="1440" w:gutter="0" w:footer="0" w:header="0"/>
        </w:sectPr>
      </w:pPr>
    </w:p>
    <w:bookmarkStart w:id="103" w:name="page104"/>
    <w:bookmarkEnd w:id="103"/>
    <w:p>
      <w:pPr>
        <w:jc w:val="center"/>
        <w:ind w:right="-9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62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4"/>
        </w:trPr>
        <w:tc>
          <w:tcPr>
            <w:tcW w:w="78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0"/>
        </w:trPr>
        <w:tc>
          <w:tcPr>
            <w:tcW w:w="7840" w:type="dxa"/>
            <w:vAlign w:val="bottom"/>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(32,775)</w:t>
            </w:r>
          </w:p>
        </w:tc>
        <w:tc>
          <w:tcPr>
            <w:tcW w:w="80" w:type="dxa"/>
            <w:vAlign w:val="bottom"/>
          </w:tcPr>
          <w:p>
            <w:pPr>
              <w:spacing w:after="0"/>
              <w:rPr>
                <w:sz w:val="16"/>
                <w:szCs w:val="16"/>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(16,038)</w:t>
            </w:r>
          </w:p>
        </w:tc>
        <w:tc>
          <w:tcPr>
            <w:tcW w:w="10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0"/>
        </w:trPr>
        <w:tc>
          <w:tcPr>
            <w:tcW w:w="784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96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7,348</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1,557</w:t>
            </w:r>
          </w:p>
        </w:tc>
        <w:tc>
          <w:tcPr>
            <w:tcW w:w="10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Depreciation and amortization</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1,606</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0"/>
        </w:trPr>
        <w:tc>
          <w:tcPr>
            <w:tcW w:w="7840" w:type="dxa"/>
            <w:vAlign w:val="bottom"/>
          </w:tcPr>
          <w:p>
            <w:pPr>
              <w:ind w:left="240"/>
              <w:spacing w:after="0"/>
              <w:rPr>
                <w:sz w:val="20"/>
                <w:szCs w:val="20"/>
                <w:color w:val="auto"/>
              </w:rPr>
            </w:pPr>
            <w:r>
              <w:rPr>
                <w:rFonts w:ascii="Arial" w:cs="Arial" w:eastAsia="Arial" w:hAnsi="Arial"/>
                <w:sz w:val="14"/>
                <w:szCs w:val="14"/>
                <w:color w:val="auto"/>
              </w:rPr>
              <w:t>Net amortization of premium (accretion of discount) on available-for-sale securities</w:t>
            </w:r>
          </w:p>
        </w:tc>
        <w:tc>
          <w:tcPr>
            <w:tcW w:w="96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261</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Non-cash interest expense and other adjustments</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1"/>
        </w:trPr>
        <w:tc>
          <w:tcPr>
            <w:tcW w:w="7840" w:type="dxa"/>
            <w:vAlign w:val="bottom"/>
          </w:tcPr>
          <w:p>
            <w:pPr>
              <w:ind w:left="240"/>
              <w:spacing w:after="0"/>
              <w:rPr>
                <w:sz w:val="20"/>
                <w:szCs w:val="20"/>
                <w:color w:val="auto"/>
              </w:rPr>
            </w:pPr>
            <w:r>
              <w:rPr>
                <w:rFonts w:ascii="Arial" w:cs="Arial" w:eastAsia="Arial" w:hAnsi="Arial"/>
                <w:sz w:val="14"/>
                <w:szCs w:val="14"/>
                <w:color w:val="auto"/>
              </w:rPr>
              <w:t>Changes in operating assets and liabilities: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Other receivables</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0"/>
        </w:trPr>
        <w:tc>
          <w:tcPr>
            <w:tcW w:w="7840" w:type="dxa"/>
            <w:vAlign w:val="bottom"/>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96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Inventory</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90"/>
        </w:trPr>
        <w:tc>
          <w:tcPr>
            <w:tcW w:w="7840" w:type="dxa"/>
            <w:vAlign w:val="bottom"/>
          </w:tcPr>
          <w:p>
            <w:pPr>
              <w:ind w:left="460"/>
              <w:spacing w:after="0"/>
              <w:rPr>
                <w:sz w:val="20"/>
                <w:szCs w:val="20"/>
                <w:color w:val="auto"/>
              </w:rPr>
            </w:pPr>
            <w:r>
              <w:rPr>
                <w:rFonts w:ascii="Arial" w:cs="Arial" w:eastAsia="Arial" w:hAnsi="Arial"/>
                <w:sz w:val="14"/>
                <w:szCs w:val="14"/>
                <w:color w:val="auto"/>
              </w:rPr>
              <w:t>Other assets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Accounts payable</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912</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1"/>
        </w:trPr>
        <w:tc>
          <w:tcPr>
            <w:tcW w:w="7840" w:type="dxa"/>
            <w:vAlign w:val="bottom"/>
          </w:tcPr>
          <w:p>
            <w:pPr>
              <w:ind w:left="460"/>
              <w:spacing w:after="0"/>
              <w:rPr>
                <w:sz w:val="20"/>
                <w:szCs w:val="20"/>
                <w:color w:val="auto"/>
              </w:rPr>
            </w:pPr>
            <w:r>
              <w:rPr>
                <w:rFonts w:ascii="Arial" w:cs="Arial" w:eastAsia="Arial" w:hAnsi="Arial"/>
                <w:sz w:val="14"/>
                <w:szCs w:val="14"/>
                <w:color w:val="auto"/>
              </w:rPr>
              <w:t>Deferred revenue</w:t>
            </w:r>
          </w:p>
        </w:tc>
        <w:tc>
          <w:tcPr>
            <w:tcW w:w="96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Deferred rent</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242</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0"/>
        </w:trPr>
        <w:tc>
          <w:tcPr>
            <w:tcW w:w="7840" w:type="dxa"/>
            <w:vAlign w:val="bottom"/>
          </w:tcPr>
          <w:p>
            <w:pPr>
              <w:ind w:left="460"/>
              <w:spacing w:after="0"/>
              <w:rPr>
                <w:sz w:val="20"/>
                <w:szCs w:val="20"/>
                <w:color w:val="auto"/>
              </w:rPr>
            </w:pPr>
            <w:r>
              <w:rPr>
                <w:rFonts w:ascii="Arial" w:cs="Arial" w:eastAsia="Arial" w:hAnsi="Arial"/>
                <w:sz w:val="14"/>
                <w:szCs w:val="14"/>
                <w:color w:val="auto"/>
              </w:rPr>
              <w:t>Accrued expenses</w:t>
            </w:r>
          </w:p>
        </w:tc>
        <w:tc>
          <w:tcPr>
            <w:tcW w:w="96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2,036</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761</w:t>
            </w:r>
          </w:p>
        </w:tc>
        <w:tc>
          <w:tcPr>
            <w:tcW w:w="10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Accrued research and development</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0"/>
        </w:trPr>
        <w:tc>
          <w:tcPr>
            <w:tcW w:w="7840" w:type="dxa"/>
            <w:vAlign w:val="bottom"/>
          </w:tcPr>
          <w:p>
            <w:pPr>
              <w:ind w:left="460"/>
              <w:spacing w:after="0"/>
              <w:rPr>
                <w:sz w:val="20"/>
                <w:szCs w:val="20"/>
                <w:color w:val="auto"/>
              </w:rPr>
            </w:pPr>
            <w:r>
              <w:rPr>
                <w:rFonts w:ascii="Arial" w:cs="Arial" w:eastAsia="Arial" w:hAnsi="Arial"/>
                <w:sz w:val="14"/>
                <w:szCs w:val="14"/>
                <w:color w:val="auto"/>
              </w:rPr>
              <w:t>Other noncurrent liabilities</w:t>
            </w:r>
          </w:p>
        </w:tc>
        <w:tc>
          <w:tcPr>
            <w:tcW w:w="96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197</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r>
      <w:tr>
        <w:trPr>
          <w:trHeight w:val="26"/>
        </w:trPr>
        <w:tc>
          <w:tcPr>
            <w:tcW w:w="78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10"/>
        </w:trPr>
        <w:tc>
          <w:tcPr>
            <w:tcW w:w="78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used in operating activities</w:t>
            </w:r>
          </w:p>
        </w:tc>
        <w:tc>
          <w:tcPr>
            <w:tcW w:w="9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(20,828)</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(13,073)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70"/>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5"/>
        </w:trPr>
        <w:tc>
          <w:tcPr>
            <w:tcW w:w="7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(4,534)</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1"/>
        </w:trPr>
        <w:tc>
          <w:tcPr>
            <w:tcW w:w="7840" w:type="dxa"/>
            <w:vAlign w:val="bottom"/>
          </w:tcPr>
          <w:p>
            <w:pPr>
              <w:ind w:left="20"/>
              <w:spacing w:after="0"/>
              <w:rPr>
                <w:sz w:val="20"/>
                <w:szCs w:val="20"/>
                <w:color w:val="auto"/>
              </w:rPr>
            </w:pPr>
            <w:r>
              <w:rPr>
                <w:rFonts w:ascii="Arial" w:cs="Arial" w:eastAsia="Arial" w:hAnsi="Arial"/>
                <w:sz w:val="14"/>
                <w:szCs w:val="14"/>
                <w:color w:val="auto"/>
              </w:rPr>
              <w:t>Purchase of available-for-sale securities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(87,724)</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(92,002)</w:t>
            </w:r>
          </w:p>
        </w:tc>
        <w:tc>
          <w:tcPr>
            <w:tcW w:w="100" w:type="dxa"/>
            <w:vAlign w:val="bottom"/>
          </w:tcPr>
          <w:p>
            <w:pPr>
              <w:spacing w:after="0"/>
              <w:rPr>
                <w:sz w:val="16"/>
                <w:szCs w:val="16"/>
                <w:color w:val="auto"/>
              </w:rPr>
            </w:pPr>
          </w:p>
        </w:tc>
      </w:tr>
      <w:tr>
        <w:trPr>
          <w:trHeight w:val="25"/>
        </w:trPr>
        <w:tc>
          <w:tcPr>
            <w:tcW w:w="7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maturities of available-for-sale securities</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57,750</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23,750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0"/>
        </w:trPr>
        <w:tc>
          <w:tcPr>
            <w:tcW w:w="7840" w:type="dxa"/>
            <w:vAlign w:val="bottom"/>
          </w:tcPr>
          <w:p>
            <w:pPr>
              <w:ind w:left="20"/>
              <w:spacing w:after="0"/>
              <w:rPr>
                <w:sz w:val="20"/>
                <w:szCs w:val="20"/>
                <w:color w:val="auto"/>
              </w:rPr>
            </w:pPr>
            <w:r>
              <w:rPr>
                <w:rFonts w:ascii="Arial" w:cs="Arial" w:eastAsia="Arial" w:hAnsi="Arial"/>
                <w:sz w:val="14"/>
                <w:szCs w:val="14"/>
                <w:color w:val="auto"/>
              </w:rPr>
              <w:t>Investment in equity method investee</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78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10"/>
        </w:trPr>
        <w:tc>
          <w:tcPr>
            <w:tcW w:w="78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used in investing activities</w:t>
            </w:r>
          </w:p>
        </w:tc>
        <w:tc>
          <w:tcPr>
            <w:tcW w:w="9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(34,558)</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(72,383)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70"/>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5"/>
        </w:trPr>
        <w:tc>
          <w:tcPr>
            <w:tcW w:w="7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Class A common stock</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10"/>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exercise of Class A common stock options including early exercised options</w:t>
            </w:r>
          </w:p>
        </w:tc>
        <w:tc>
          <w:tcPr>
            <w:tcW w:w="96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1,265</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r>
      <w:tr>
        <w:trPr>
          <w:trHeight w:val="202"/>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issuance of Series C convertible preferred stock, net of issuance costs</w:t>
            </w:r>
          </w:p>
        </w:tc>
        <w:tc>
          <w:tcPr>
            <w:tcW w:w="9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17,347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1"/>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issuance of Series D convertible preferred stock, net of issuance costs</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54,584</w:t>
            </w:r>
          </w:p>
        </w:tc>
        <w:tc>
          <w:tcPr>
            <w:tcW w:w="100" w:type="dxa"/>
            <w:vAlign w:val="bottom"/>
          </w:tcPr>
          <w:p>
            <w:pPr>
              <w:spacing w:after="0"/>
              <w:rPr>
                <w:sz w:val="16"/>
                <w:szCs w:val="16"/>
                <w:color w:val="auto"/>
              </w:rPr>
            </w:pPr>
          </w:p>
        </w:tc>
      </w:tr>
      <w:tr>
        <w:trPr>
          <w:trHeight w:val="25"/>
        </w:trPr>
        <w:tc>
          <w:tcPr>
            <w:tcW w:w="7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issuance of Series D-1 convertible preferred stock, net of issuance costs</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54,896</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91"/>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issuance of Class A common stock upon initial public offering, net of issuance costs</w:t>
            </w:r>
          </w:p>
        </w:tc>
        <w:tc>
          <w:tcPr>
            <w:tcW w:w="96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w w:val="98"/>
              </w:rPr>
              <w:t>185,063</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5"/>
        </w:trPr>
        <w:tc>
          <w:tcPr>
            <w:tcW w:w="7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of issuance of Class A common stock in private placement</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8"/>
              </w:rPr>
              <w:t>130,275</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90"/>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issuance of convertible notes</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6"/>
                <w:szCs w:val="16"/>
                <w:color w:val="auto"/>
              </w:rPr>
            </w:pPr>
          </w:p>
        </w:tc>
      </w:tr>
      <w:tr>
        <w:trPr>
          <w:trHeight w:val="25"/>
        </w:trPr>
        <w:tc>
          <w:tcPr>
            <w:tcW w:w="78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10"/>
        </w:trPr>
        <w:tc>
          <w:tcPr>
            <w:tcW w:w="78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provided by financing activities</w:t>
            </w:r>
          </w:p>
        </w:tc>
        <w:tc>
          <w:tcPr>
            <w:tcW w:w="9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8"/>
              </w:rPr>
              <w:t>371,486</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72,331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84"/>
        </w:trPr>
        <w:tc>
          <w:tcPr>
            <w:tcW w:w="784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9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8"/>
              </w:rPr>
              <w:t>316,100</w:t>
            </w:r>
          </w:p>
        </w:tc>
        <w:tc>
          <w:tcPr>
            <w:tcW w:w="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(13,125)</w:t>
            </w:r>
          </w:p>
        </w:tc>
        <w:tc>
          <w:tcPr>
            <w:tcW w:w="100" w:type="dxa"/>
            <w:vAlign w:val="bottom"/>
          </w:tcPr>
          <w:p>
            <w:pPr>
              <w:spacing w:after="0"/>
              <w:rPr>
                <w:sz w:val="16"/>
                <w:szCs w:val="16"/>
                <w:color w:val="auto"/>
              </w:rPr>
            </w:pPr>
          </w:p>
        </w:tc>
      </w:tr>
      <w:tr>
        <w:trPr>
          <w:trHeight w:val="25"/>
        </w:trPr>
        <w:tc>
          <w:tcPr>
            <w:tcW w:w="7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9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17,828</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8"/>
              </w:rPr>
              <w:t>333,928</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17,828</w:t>
            </w:r>
          </w:p>
        </w:tc>
        <w:tc>
          <w:tcPr>
            <w:tcW w:w="100" w:type="dxa"/>
            <w:vAlign w:val="bottom"/>
          </w:tcPr>
          <w:p>
            <w:pPr>
              <w:spacing w:after="0"/>
              <w:rPr>
                <w:sz w:val="18"/>
                <w:szCs w:val="18"/>
                <w:color w:val="auto"/>
              </w:rPr>
            </w:pPr>
          </w:p>
        </w:tc>
      </w:tr>
      <w:tr>
        <w:trPr>
          <w:trHeight w:val="46"/>
        </w:trPr>
        <w:tc>
          <w:tcPr>
            <w:tcW w:w="78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191"/>
        </w:trPr>
        <w:tc>
          <w:tcPr>
            <w:tcW w:w="784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96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87"/>
        </w:trPr>
        <w:tc>
          <w:tcPr>
            <w:tcW w:w="7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1"/>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purchases included in accounts payable</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0"/>
        </w:trPr>
        <w:tc>
          <w:tcPr>
            <w:tcW w:w="7840" w:type="dxa"/>
            <w:vAlign w:val="bottom"/>
          </w:tcPr>
          <w:p>
            <w:pPr>
              <w:ind w:left="20"/>
              <w:spacing w:after="0"/>
              <w:rPr>
                <w:sz w:val="20"/>
                <w:szCs w:val="20"/>
                <w:color w:val="auto"/>
              </w:rPr>
            </w:pPr>
            <w:r>
              <w:rPr>
                <w:rFonts w:ascii="Arial" w:cs="Arial" w:eastAsia="Arial" w:hAnsi="Arial"/>
                <w:sz w:val="14"/>
                <w:szCs w:val="14"/>
                <w:color w:val="auto"/>
              </w:rPr>
              <w:t>Property and equipment purchases included in accrued expenses</w:t>
            </w:r>
          </w:p>
        </w:tc>
        <w:tc>
          <w:tcPr>
            <w:tcW w:w="9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6"/>
                <w:szCs w:val="16"/>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3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Series D convertible preferred stock upon extinguishment of convertible notes</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Borders>
              <w:bottom w:val="single" w:sz="8" w:color="auto"/>
            </w:tcBorders>
            <w:shd w:val="clear" w:color="auto" w:fill="CCEEFF"/>
          </w:tcPr>
          <w:p>
            <w:pPr>
              <w:spacing w:after="0"/>
              <w:rPr>
                <w:sz w:val="20"/>
                <w:szCs w:val="20"/>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190"/>
        </w:trPr>
        <w:tc>
          <w:tcPr>
            <w:tcW w:w="7840" w:type="dxa"/>
            <w:vAlign w:val="bottom"/>
          </w:tcPr>
          <w:p>
            <w:pPr>
              <w:ind w:left="20"/>
              <w:spacing w:after="0"/>
              <w:rPr>
                <w:sz w:val="20"/>
                <w:szCs w:val="20"/>
                <w:color w:val="auto"/>
              </w:rPr>
            </w:pPr>
            <w:r>
              <w:rPr>
                <w:rFonts w:ascii="Arial" w:cs="Arial" w:eastAsia="Arial" w:hAnsi="Arial"/>
                <w:sz w:val="14"/>
                <w:szCs w:val="14"/>
                <w:color w:val="auto"/>
              </w:rPr>
              <w:t>Conversion of convertible preferred stock into common stock upon initial public offering</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w w:val="98"/>
              </w:rPr>
              <w:t>162,848</w:t>
            </w:r>
          </w:p>
        </w:tc>
        <w:tc>
          <w:tcPr>
            <w:tcW w:w="80" w:type="dxa"/>
            <w:vAlign w:val="bottom"/>
          </w:tcPr>
          <w:p>
            <w:pPr>
              <w:spacing w:after="0"/>
              <w:rPr>
                <w:sz w:val="16"/>
                <w:szCs w:val="16"/>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Convertible preferred stock issuance costs included in accrued expenses</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7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7840" w:type="dxa"/>
            <w:vAlign w:val="bottom"/>
          </w:tcPr>
          <w:p>
            <w:pPr>
              <w:ind w:left="20"/>
              <w:spacing w:after="0"/>
              <w:rPr>
                <w:sz w:val="20"/>
                <w:szCs w:val="20"/>
                <w:color w:val="auto"/>
              </w:rPr>
            </w:pPr>
            <w:r>
              <w:rPr>
                <w:rFonts w:ascii="Arial" w:cs="Arial" w:eastAsia="Arial" w:hAnsi="Arial"/>
                <w:sz w:val="14"/>
                <w:szCs w:val="14"/>
                <w:color w:val="auto"/>
              </w:rPr>
              <w:t>Tenant improvements paid by landlord</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1,787</w:t>
            </w:r>
          </w:p>
        </w:tc>
        <w:tc>
          <w:tcPr>
            <w:tcW w:w="100" w:type="dxa"/>
            <w:vAlign w:val="bottom"/>
          </w:tcPr>
          <w:p>
            <w:pPr>
              <w:spacing w:after="0"/>
              <w:rPr>
                <w:sz w:val="16"/>
                <w:szCs w:val="16"/>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Offering costs in accounts payable</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468</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7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7840" w:type="dxa"/>
            <w:vAlign w:val="bottom"/>
          </w:tcPr>
          <w:p>
            <w:pPr>
              <w:ind w:left="20"/>
              <w:spacing w:after="0"/>
              <w:rPr>
                <w:sz w:val="20"/>
                <w:szCs w:val="20"/>
                <w:color w:val="auto"/>
              </w:rPr>
            </w:pPr>
            <w:r>
              <w:rPr>
                <w:rFonts w:ascii="Arial" w:cs="Arial" w:eastAsia="Arial" w:hAnsi="Arial"/>
                <w:sz w:val="14"/>
                <w:szCs w:val="14"/>
                <w:color w:val="auto"/>
              </w:rPr>
              <w:t>Offering costs in accrued expenses</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729</w:t>
            </w:r>
          </w:p>
        </w:tc>
        <w:tc>
          <w:tcPr>
            <w:tcW w:w="80" w:type="dxa"/>
            <w:vAlign w:val="bottom"/>
          </w:tcPr>
          <w:p>
            <w:pPr>
              <w:spacing w:after="0"/>
              <w:rPr>
                <w:sz w:val="16"/>
                <w:szCs w:val="16"/>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0"/>
        </w:trPr>
        <w:tc>
          <w:tcPr>
            <w:tcW w:w="78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140"/>
          </w:cols>
          <w:pgMar w:left="320" w:top="121" w:right="4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BUSINESS</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Seer, Inc. (the Company) was incorporated in Delaware on March 16, 2017, and is based in Redwood City, California. In December 2020, the Company formed the wholly-owned subsidiary, Seer Securities Corporation, located in Massachusetts. The Company is a life sciences company focused on capturing deep molecular insights from the proteome to enable novel insights and breakthroughs in the understanding of biology and disease. Since inception, the Company has devoted its efforts principally to research and development of its technology and product candidates, recruiting management and technical staff, acquiring operating assets, and raising capital.</w:t>
      </w:r>
    </w:p>
    <w:p>
      <w:pPr>
        <w:spacing w:after="0" w:line="13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Company is subject to a number of risks, similar to other early-stage life science companies, including, but not limited to, raising additional capital, development and commercialization of its products, development by its competitors of new technological innovations, protection of its intellectual property, and market acceptance of its products.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7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Company’s registration statement on Form S-1 related to its initial public offering (IPO) was declared effective on December 3, 2020 by the Securities and Exchange Commission (SEC), and the Company’s Class A common stock began trading on the Nasdaq Global Select Market on December 4, 2020. On December 8, 2020, the Company completed its IPO, in which the Company sold 10,592,106 shares of Class A common stock, including 1,381,579 shares of Class A common stock that were offered and sold pursuant to the full exercise of the underwriters’ option to purchase additional shares, at a price to the public of $19.00 per share. Including the option exercise, the Company received net proceeds of $183.9 million after deducting offering costs, underwriting discounts, and commissions of $17.4 million.</w:t>
      </w:r>
    </w:p>
    <w:p>
      <w:pPr>
        <w:spacing w:after="0" w:line="124"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Immediately prior to the completion of the IPO, all of the outstanding convertible preferred stock converted into an aggregate of 29,026,787 shares of Class A common stock. In addition, the Company filed its amended and restated certificate of incorporation which authorizes a total of 94,000,000 shares of Class A common stock, 6,000,000 shares of Class B common stock, and 5,000,000 shares of preferred stock.</w:t>
      </w:r>
    </w:p>
    <w:p>
      <w:pPr>
        <w:spacing w:after="0" w:line="111" w:lineRule="exact"/>
        <w:rPr>
          <w:sz w:val="20"/>
          <w:szCs w:val="20"/>
          <w:color w:val="auto"/>
        </w:rPr>
      </w:pPr>
    </w:p>
    <w:p>
      <w:pPr>
        <w:jc w:val="both"/>
        <w:ind w:right="300" w:firstLine="324"/>
        <w:spacing w:after="0" w:line="279" w:lineRule="auto"/>
        <w:rPr>
          <w:sz w:val="20"/>
          <w:szCs w:val="20"/>
          <w:color w:val="auto"/>
        </w:rPr>
      </w:pPr>
      <w:r>
        <w:rPr>
          <w:rFonts w:ascii="Arial" w:cs="Arial" w:eastAsia="Arial" w:hAnsi="Arial"/>
          <w:sz w:val="17"/>
          <w:szCs w:val="17"/>
          <w:color w:val="auto"/>
        </w:rPr>
        <w:t>Concurrent with the IPO, the Company issued 7,105,262 shares of its common stock in a private placement for net proceeds of $130.3 million after deducting offering costs, underwriting discounts and commissions of $4.7 million. In addition, 526,315 shares of Class B common stock converted into Class A common stock in connection with the sale of such shares by an existing shareholder in a secondary transaction and 2,803,737 shares of Class B common stock were voluntarily converted to an equal amount of Class A common stock.</w:t>
      </w:r>
    </w:p>
    <w:p>
      <w:pPr>
        <w:spacing w:after="0" w:line="11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Upon the closing of the IPO, the Company recognized $0.3 million of cumulative stock-based compensation associated with the RSUs that begin vesting upon the achievement of a performance condition satisfied on the IPO for the service period rendered from the date of grant through the completion of the IPO.</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Public Offering</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On February 1, 2021, the Company completed an underwritten public offering (Follow-On Offering) of 1,650,000 shares of its Class A common stock at a public offering price of $67.00 per share (see Note 14). The Company received net proceeds of $103.1 million after deducting offering costs, underwriting discounts, and commissions of $7.5 million.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November 2020, the Company’s board of directors approved an amended and restated certificate of incorporation to effect a reverse split of shares of the Company’s common stock and convertible preferred stock on a 1-for-2.14 basis (the Reverse Stock Split) effective as of November 25, 2020. The par values of the common stock and convertible preferred stock were not adjusted as a result of the Reverse Stock Split. All references to common stock, options to purchase common stock, restricted stock awards, restricted stock units, convertible preferred stock, share data, per share data, and related information contained in the consolidated financial statements have been retrospectively adjusted to reflect the effect of the Reverse Stock Split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21"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w:t>
      </w:r>
    </w:p>
    <w:p>
      <w:pPr>
        <w:spacing w:after="0" w:line="171"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As of December 31, 2020, the Company has incurred significant losses and has had negative cash flows from operations. As of December 31, 2020, the Company had cash, cash equivalents and investments of $431.9 million and an accumulated deficit of $55.4 million. Management expects to continue to incur significant expenses for the foreseeable future and to incur operating losses in the near term while the Company makes investments to support its anticipated growth. The Company believes that its cash and cash equivalents balance as of December 31, 2020 provides sufficient capital resources to continue its operations for at least 12 months from the issuance date of the accompanying consolidated financial statements.</w:t>
      </w:r>
    </w:p>
    <w:p>
      <w:pPr>
        <w:spacing w:after="0" w:line="103"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BASIS OF PRESENTATION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of America (U.S. GAAP). The Company has issued shares of Class A common stock herein referred to as “Class A common stock” or “Class A” and Class B common stock herein referred to as “Class B common stock” or “Class B,” and collectively as “common stock.” The consolidated financial statements include the accounts of Seer, Inc. and its wholly-owned subsidiary. All intercompany transactions and balances have been eliminated.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liabilities, and the disclosure of contingent assets and liabilities at the date of the consolidated financial statements and the reported amounts of expenses during the reporting period. On an ongoing basis, the Company evaluates its estimates and assumptions, including, but not limited to, those related to the fair value of common stock, stock-based compensation, accrued research and development expenses, useful lives and valuation of property and equipment, income tax uncertainties, and tax valuation allowances.</w:t>
      </w:r>
    </w:p>
    <w:p>
      <w:pPr>
        <w:spacing w:after="0" w:line="122"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and available-for-sale securities.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recorded in the consolidated balance sheets.</w:t>
      </w:r>
    </w:p>
    <w:p>
      <w:pPr>
        <w:spacing w:after="0" w:line="13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is subject to a number of risks similar to other early-stage life science companies, including, but not limited to its reliance on third parties to obtain its clinical samples, competitors developing new technological innovations, the need to successfully commercialize and gain market acceptance of the Company’s products, protection of its proprietary technology, and the need to secure and maintain adequate manufacturing arrangements with third parties. If the Company does not successfully commercialize or partner any of its products, it will be unable to generate product revenue or achieve profitability.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71"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As a result of the COVID-19 pandemic (COVID-19), the Company’s operations experienced disruptions and restrictions on employees’ ability to work and on the hiring of additional personnel, particularly as a result of preventive and precautionary measures taken by the Company and some of its suppliers and other service providers. In particular, some of the Company’s laboratory material and equipment suppliers, collaborators, and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21" w:right="3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providers used in the performance of its research activities and phased commercial launch plan have been similarly impacted by COVID-19, which may limit the Company’s ability to achieve its planned progress. COVID-19 has adversely affected the broader economy and financial markets, resulting in an economic downturn that could affect the Company’s financing prospects. Continued disruptions from COVID-19 could harm the Company’s operations and the Company cannot anticipate all the ways in which it could be adversely impacted by health epidemics such as COVID-19.</w:t>
      </w:r>
    </w:p>
    <w:p>
      <w:pPr>
        <w:spacing w:after="0" w:line="103" w:lineRule="exact"/>
        <w:rPr>
          <w:sz w:val="20"/>
          <w:szCs w:val="20"/>
          <w:color w:val="auto"/>
        </w:rPr>
      </w:pPr>
    </w:p>
    <w:p>
      <w:pPr>
        <w:ind w:right="280" w:firstLine="324"/>
        <w:spacing w:after="0" w:line="301" w:lineRule="auto"/>
        <w:rPr>
          <w:sz w:val="20"/>
          <w:szCs w:val="20"/>
          <w:color w:val="auto"/>
        </w:rPr>
      </w:pPr>
      <w:r>
        <w:rPr>
          <w:rFonts w:ascii="Arial" w:cs="Arial" w:eastAsia="Arial" w:hAnsi="Arial"/>
          <w:sz w:val="16"/>
          <w:szCs w:val="16"/>
          <w:color w:val="auto"/>
        </w:rPr>
        <w:t>The COVID-19 pandemic has mainly impacted the progress of research and development activities due to the limited ability of the Company’s employees to access laboratories during times of statewide quarantine and on some of its suppliers who have experienced a surge in demand for their products resulting in supply delays for critical hardware, instrumentation and medical and testing supplies used for product development. The Company continues to monitor and assess the effects of the COVID-19 pandemic on its business, financial condition, results of operations and cash flows.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Variable Interest Entities and Voting Interest Entities</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Company consolidates those entities in which it has direct, or indirect controlling financial interest based on either the Variable Interest Entity (VIE) model or the Voting Interest Entity (VOE) model.</w:t>
      </w:r>
    </w:p>
    <w:p>
      <w:pPr>
        <w:spacing w:after="0" w:line="11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VIEs are primarily entities that, by design, either lack sufficient equity-at-risk to finance their activities without additional subordinated financial support from other parties or whose equity-at-risk holders, as a group, lack one or more of the following characteristics: (i) direct or indirect ability to make decisions (ii) obligation to absorb expected losses or (iii) right to receive expected residual returns. VIEs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of a VIE is required to consolidate the assets and liabilities of the VIE. To determine a VIE’s primary beneficiary, the Company performs a qualitative assessment to determine which party, if any, has the power to direct activities of the VIE and the obligation to absorb its losses or receive its benefits. This assessment involves identifying the activities that most significantly impact the VIE’s economic performance and determining whether the Company, or another party, have the power to direct those activities.</w:t>
      </w:r>
    </w:p>
    <w:p>
      <w:pPr>
        <w:spacing w:after="0" w:line="112"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To assess whether the Company has the power to direct the activities of a VIE that most significantly impact the VIE’s economic performance, the Company considers all the facts and circumstances, including its role in establishing the VIE and its ongoing rights and responsibilities. In general, the parties that make the most significant decisions affecting the VIE (management and representation on the board of directors) and have the right to unilaterally remove those decision-makers are deemed to have the power to direct the activities of a VIE.</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To assess whether the Company has the obligation to absorb losses of the VIE or the right to receive benefits from the VIE that could potentially be significant to the VIE, the Company considers all of its economic interests, which typically include equity investments in preferred and common stock that are deemed to be variable interests in the VIE. This assessment requires the Company to apply judgment in determining whether these interests, in the aggregate, are considered potentially significant to the VIE. Factors considered in assessing the significance include: the design of the VIE, including its capitalization structure; subordination of interests; payment priority; relative share of interests held across various classes within the VIE’s capital structure; and the reasons why the interests are held by the Company.</w:t>
      </w:r>
    </w:p>
    <w:p>
      <w:pPr>
        <w:spacing w:after="0" w:line="138"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At the VIE’s inception, the Company determines whether it is the primary beneficiary and if the VIE should be consolidated based on the facts and circumstances. The Company then performs on-going reassessments of the VIE based on reconsideration events and reevaluates whether a change to the consolidation conclusion is required at each reporting period.</w:t>
      </w:r>
    </w:p>
    <w:p>
      <w:pPr>
        <w:spacing w:after="0" w:line="13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Entities that do not qualify as a VIE are assessed for consolidation under the VOE model. Under the VOE model, the Company consolidates the entity if it determines that it, directly or indirectly, has greater than 50% of the voting shares and that other equity holders do not have substantive voting, participating or liquidation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20" w:top="121" w:right="35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utilizes the equity method to account for investments when it possesses the ability to exercise significant influence, but not control, over the operating and financial decisions of the investee.</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applying the equity method, the Company records the investment at cost and subsequently increases or decreases the carrying amount of the investment by its proportionate share of the net earnings or losses and other comprehensive income of the investee based on its percentage of common stock ownership during the respective reporting period. Payments to investees such as additional investments and payments from investees such as dividends are recorded as adjustments to the carrying value of the investment. In the event that net losses of the investee reduce the carrying amount to zero, no additional net losses are recorded unless the Company makes additional investment in the investee, has guaranteed obligations of the investee, or is otherwise committed to provide further financial support for the investee.</w:t>
      </w:r>
    </w:p>
    <w:p>
      <w:pPr>
        <w:spacing w:after="0" w:line="138" w:lineRule="exact"/>
        <w:rPr>
          <w:sz w:val="20"/>
          <w:szCs w:val="20"/>
          <w:color w:val="auto"/>
        </w:rPr>
      </w:pPr>
    </w:p>
    <w:p>
      <w:pPr>
        <w:ind w:left="340" w:right="1260"/>
        <w:spacing w:after="0" w:line="438" w:lineRule="auto"/>
        <w:rPr>
          <w:sz w:val="20"/>
          <w:szCs w:val="20"/>
          <w:color w:val="auto"/>
        </w:rPr>
      </w:pPr>
      <w:r>
        <w:rPr>
          <w:rFonts w:ascii="Arial" w:cs="Arial" w:eastAsia="Arial" w:hAnsi="Arial"/>
          <w:sz w:val="18"/>
          <w:szCs w:val="18"/>
          <w:color w:val="auto"/>
        </w:rPr>
        <w:t xml:space="preserve">As of December 31, 2020, the Company has an equity method investment in PrognomIQ. Refer to Note 11 for additional information. </w:t>
      </w:r>
      <w:r>
        <w:rPr>
          <w:rFonts w:ascii="Arial" w:cs="Arial" w:eastAsia="Arial" w:hAnsi="Arial"/>
          <w:sz w:val="18"/>
          <w:szCs w:val="18"/>
          <w:b w:val="1"/>
          <w:bCs w:val="1"/>
          <w:i w:val="1"/>
          <w:iCs w:val="1"/>
          <w:color w:val="auto"/>
        </w:rPr>
        <w:t>Cash, Cash Equivalents and Restricted Cash</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considers all highly liquid investments with an original maturity of three months or less at the date of purchase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and 2019, all amounts recorded as cash and cash equivalents consist of money market funds and are stated at fair value.</w:t>
      </w:r>
    </w:p>
    <w:p>
      <w:pPr>
        <w:spacing w:after="0" w:line="16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Restricted cash as of December 31, 2020 and 2019 represents cash held by a financial institution as security for a letter of credit issued to the lessor for one of the Company’s operating leases and is classified as non-current.</w:t>
      </w:r>
    </w:p>
    <w:p>
      <w:pPr>
        <w:spacing w:after="0" w:line="11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amounts shown in the consolidated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187"/>
        </w:trPr>
        <w:tc>
          <w:tcPr>
            <w:tcW w:w="6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r>
      <w:tr>
        <w:trPr>
          <w:trHeight w:val="238"/>
        </w:trPr>
        <w:tc>
          <w:tcPr>
            <w:tcW w:w="6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17,485</w:t>
            </w:r>
          </w:p>
        </w:tc>
      </w:tr>
      <w:tr>
        <w:trPr>
          <w:trHeight w:val="23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17,828</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The Company operates as a single operating segment. The Company’s chief operating decision maker, its Chief Executive Officer, manages the Company’s operations on a consolidated basis for the purposes of allocating resources, making operating decisions and evaluating financial performance.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7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Company has designated all investments, which includes U.S. Treasury securities, as available-for-sale, and therefore, such investments are reported at fair value, with unrealized gains and losses excluded from earnings and reported as a component of other comprehensive loss. The cost of available-for-sale securities is adjusted for the amortization of premiums and accretion of discounts to expected maturity. Such amortization and accretion are included in other income (expense) on the consolidated statements of operations and comprehensive loss. Realized gains and losses and interest income on available-for-sale securities are also included in other income (expense). The cost of securities sold is based on the specific identification method. The Company includes all of its available-for-sale securities in current assets. The Company determines the appropriate classification of its investments in debt securities at the time of purchase and reevaluates such designation at each balance sheet date. Available-for-sale securities with original maturities beyond three months at the date of purchase are classified as current based on their availability for use in current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21" w:right="3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All of the Company’s investments are subject to a periodic impairment review. The Company recognizes an impairment charge when a decline in the fair value of its investments below the cost basis is judged to be other than temporary. Factors considered in determining whether a loss is temporary include the length of time and extent to which an investment’s fair value has been less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 During the year ended December 31, 2019, the Company did not recognize any impairment charges on its investments.</w:t>
      </w:r>
    </w:p>
    <w:p>
      <w:pPr>
        <w:spacing w:after="0" w:line="13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Any unrealized losses on available-for-sale debt securities that are attributed to credit risk are recorded to the consolidated statements of operations and comprehensive loss through an allowance for credit losses. During the year ended December 31, 2020, the Company did not recognize any such impairment charges on its investments.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Inventory is recorded at the lower of standard cost, which approximates actual cost on a weighted-average basis, or net realizable value. Provisions for slow-moving, excess or obsolete inventories are recorded when required to reduce inventory values to their estimated net realizable values based on product expiration, development plans, or quality issues. As of December 31, 2020, all inventory consists of finished goods.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Property and equipment are recorded at cost, net of accumulated depreciation and amortization. Depreciation is recorded using the straight-line method over the estimated useful lives of the assets, generally three to five years. When assets are retired or otherwise disposed of, the cost and related accumulated depreciation and amortization are removed from the consolidated balance sheet and any resulting gain or loss is included as a part of income (loss) from operations within the consolidated statements of operations and comprehensive loss. Leasehold improvements are capitalized and amortized over the shorter of the lease term or the estimated useful life of the related asset. Major replacements and improvements are capitalized, while general repairs and maintenance are expensed as incurred. Construction-in-process assets consist primarily of tools and equipment that have not yet been placed in service. These assets are stated at cost and are not depreciated. Once the assets are placed into service, assets are reclassified to the appropriate asset class on their nature and depreciated in accordance with the useful lives above.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Company evaluates the carrying amount of its long-lived assets whenever events or changes in circumstances indicate that the assets may not be recoverable. If indicators of impairment exist and the undiscounted future net cash flows expected to be generated by such assets are less than the carrying amount of the asset, an impairment loss is recorded to write the asset down to its estimated fair value based on a discounted future cash flow approach or quoted market values. There have been no such impairment losses for the periods presented.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may enter into lease agreements that are classified as either operating or capital leases. The Company enters into lease agreements for its administrative and laboratory facilities, which are classified as operating leases. When lease agreements include rent abatement and rent escalation clauses, the Company records a deferred rent liability. The Company records rent expense on a straight-line basis over the term of the lease from the date that it obtains the legal right to use and control the leased space and records the difference between cash rent payments and the recognition of rent expense as a deferred rent liability.</w:t>
      </w:r>
    </w:p>
    <w:p>
      <w:pPr>
        <w:spacing w:after="0" w:line="13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Lease agreements may also include tenant improvement allowances from landlords. The Company recognizes these allowances as a leasehold incentive obligation included in deferred rent on the consolidated balance sheets and amortizes it on a straight-line basis over the life of the lease. Building improvements made with lease incentives or tenant allowances are capitalized as leasehold improvements and included in property and equipment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21" w:right="339" w:bottom="1440" w:gutter="0" w:footer="0" w:header="0"/>
        </w:sectPr>
      </w:pPr>
    </w:p>
    <w:bookmarkStart w:id="109" w:name="page110"/>
    <w:bookmarkEnd w:id="109"/>
    <w:p>
      <w:pPr>
        <w:jc w:val="center"/>
        <w:ind w:right="-7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Revenue</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recognizes revenue when control of the services is transferred to its customers in an amount that reflects the consideration it expects to receive from its customers in exchange for those products and services.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considers a performance obligation satisfied once it has transferred control of a good or service to the customer, meaning the customer has the ability to use and obtain the benefit of the good or service.</w:t>
      </w:r>
    </w:p>
    <w:p>
      <w:pPr>
        <w:spacing w:after="0" w:line="12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recognizes revenue for research and development services contracts when control is transferred, which is upon completion of the services and when results of the services have been transferred to the customer. Upfront payments and fees received are recorded as deferred revenue until the Company performs its obligations under its arrangements. Amounts payable to the Company are recorded as other receivables when its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 Revenue</w:t>
      </w:r>
    </w:p>
    <w:p>
      <w:pPr>
        <w:spacing w:after="0" w:line="17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Research and development costs, which includes cost associated with performing services under research and development service contracts and research and development of the Company’s technology and product candidates, are expensed as incurred. Research and development expenses primarily consist of employee compensation, including stock-based compensation, and related benefits, laboratory supplies, consulting costs, costs related to clinical studies for the collection of biological samples for research use and allocated costs, including rent, depreciation, information technology, and utilities. Advance payments for goods or services for future research and development activities are deferred as prepaid expenses and expensed as the goods are delivered or the related services are performed.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7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Goods or services for research and development activities that have not yet been invoiced are recorded as liabilities within accrued research and development on the consolidated balance sheets. The Company estimates clinical discovery studies expenses based on the services performed related to clinical studies for the collection of biological samples for research use. In accruing service fees, the Company estimates the period over which services will be performed and the level of effort to be expended in each period. These estimates are based on communications with the service provider and the Company’s estimates of services performed based on information available at each balance sheet date determined through analysis with internal personnel and external service providers as to the progress or stage of completion of the associated services. Although the Company does not expect its estimates to be materially different from amounts actually incurred, the Company’s estimate of the status and timing of services performed relative to the actual status and timing of services performed may vary.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60"/>
          </w:cols>
          <w:pgMar w:left="320" w:top="121" w:right="41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there have been no material differences from the Company’s estimated accrued research and development expenses to actual expenses.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ind w:right="700" w:firstLine="324"/>
        <w:spacing w:after="0" w:line="286" w:lineRule="auto"/>
        <w:rPr>
          <w:sz w:val="20"/>
          <w:szCs w:val="20"/>
          <w:color w:val="auto"/>
        </w:rPr>
      </w:pPr>
      <w:r>
        <w:rPr>
          <w:rFonts w:ascii="Arial" w:cs="Arial" w:eastAsia="Arial" w:hAnsi="Arial"/>
          <w:sz w:val="17"/>
          <w:szCs w:val="17"/>
          <w:color w:val="auto"/>
        </w:rPr>
        <w:t>General and administrative expenses include employee compensation, including stock-based compensation, and related benefits for executive management, finance, legal, administration and human resources, allocated costs, including rent, depreciation, information technology, utilities, professional service fees, and other general overhead costs to support the Company’s operations.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accounts for stock-based compensation, including from restricted common stock awards (RSAs), grants of restricted stock units (RSUs), and stock options that may be settled in shares of our common stock, based on the fair values of the equity instruments issued. The fair value is determined on the measurement date, which is generally the date of grant. The fair value of RSAs is the difference between the fair value of the underlying stock at the measurement date and the purchase price. The fair value of RSUs is the fair value of the underlying stock at the measurement date. The fair value for our stock option awards is determined at the grant date using the Black-Scholes valuation model. The fair value of share-based payment awards is recognized as expense on a straight-line basis over the requisite service period in which the awards are expected to vest. Forfeitures are accounted for in the period in which they occur. Share-based payment awards that include a service condition and a performance condition are expected to vest when the performance condition is probable of being met.</w:t>
      </w:r>
    </w:p>
    <w:p>
      <w:pPr>
        <w:spacing w:after="0" w:line="12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stock-based awards that require judgment, for which changes if they occur can materially affect the resulting estimates of fair value. These assumptions include the per share fair value of the underlying common stock, exercise price, expected term, risk-free interest rate, expected annual dividend yield, and the expected stock price volatility over the expected term as follows: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of Common Stock</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For grants prior to the Company’s IPO in December 2020, the grant-date fair market value of the shares of common stock underlying stock options was determined by the Company’s Board of Directors with assistance of third-party valuation specialists. Because there has been no public market for the Company’s common stock, the Board of Directors exercises reasonable judgment and considers a number of objective and subjective factors to determine the best estimate of the fair market value, which include important developments in the Company’s operations, the prices at which the Company sold shares of its convertible preferred stock, the rights, preferences and privileges of the Company’s convertible preferred stock relative to those of the Company’s common stock, actual operating results, financial performance, external market conditions in the life sciences industry, general U.S. market conditions, equity market conditions of comparable public companies, and the lack of marketability of the Company’s common stock. For all grants subsequent to the IPO, the fair value of common stock was determined by using the closing price per share of common stock as reported on the Nasdaq Global Select Market.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Expected Volatility</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Company had no publicly available stock price information prior to its IPO and limited publicly available stock price information subsequent to its IPO and therefore the Company has used the historical volatility of the stock price of similar publicly traded peer companies. The historical volatility is calculated based on a period of time commensurate with the expected term assumptions.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Expected Term</w:t>
      </w:r>
    </w:p>
    <w:p>
      <w:pPr>
        <w:spacing w:after="0" w:line="17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For stock options granted to employees and directors, the expected term is calculated using the simplified method for “plain vanilla” stock option awards. The expected term for stock options granted to non-employees is the contractual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21" w:right="3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Risk-Free Interest Rate</w:t>
      </w:r>
    </w:p>
    <w:p>
      <w:pPr>
        <w:spacing w:after="0" w:line="17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risk-free interest rate is based on the yield available on U.S. Treasury zero-coupon issues similar in duration to the expected term of the equity-settled award.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Expected Dividends</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expected dividend yield is assumed to be zero as the Company has never paid dividends and has no current plans to pay dividends on its common stock.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The Company recognizes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3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A valuation allowance is recorded for deferred tax assets if it is more likely than not that some portion or all of the deferred tax assets will not be realized. 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increase the provision for income taxes in the period when such determination is made.</w:t>
      </w:r>
    </w:p>
    <w:p>
      <w:pPr>
        <w:spacing w:after="0" w:line="14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 records uncertain tax positions in accordance with Accounting Standards Codification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likely than 50 percent likely to be realized. Interest and penalties related to unrecognized tax benefits are included within the provision for income tax. At both December 31, 2020 and 2019, there were no interest and penalties.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7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0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Company’s participating securities include the Company’s convertible preferred stock, as the holders are entitled to receive noncumulative dividends on a pari passu basis in the event that a dividend is paid on common stock. The Company also considers any shares issued on the early exercise of stock options subject to repurchase to be participating securities because holders of such shares have non-forfeitable dividend rights in the event a dividend is paid on common stock. The holders of convertible preferred stock, as well as the holders of early exercised shares subject to repurchase, do not have a contractual obligation to share in losses.</w:t>
      </w:r>
    </w:p>
    <w:p>
      <w:pPr>
        <w:spacing w:after="0" w:line="134" w:lineRule="exact"/>
        <w:rPr>
          <w:sz w:val="20"/>
          <w:szCs w:val="20"/>
          <w:color w:val="auto"/>
        </w:rPr>
      </w:pPr>
    </w:p>
    <w:p>
      <w:pPr>
        <w:jc w:val="both"/>
        <w:ind w:right="700" w:firstLine="324"/>
        <w:spacing w:after="0" w:line="342"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21" w:right="339"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Comprehensive loss is comprised of net loss and changes in accumulated other comprehensive income on the Company’s available-for-sale investments related to unrealized gains and losses.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7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13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determined the fair value of financial assets and liabilities using the fair value hierarchy that describes three levels of inputs that may be used to measure fair value, as follows: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171" w:lineRule="exact"/>
        <w:rPr>
          <w:sz w:val="20"/>
          <w:szCs w:val="20"/>
          <w:color w:val="auto"/>
        </w:rPr>
      </w:pPr>
    </w:p>
    <w:p>
      <w:pPr>
        <w:ind w:left="1380" w:right="240" w:hanging="728"/>
        <w:spacing w:after="0" w:line="263"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9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3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carrying amount of the Company’s other receivables, prepaid expenses, other current assets, accounts payable, and accrued expenses approximate fair value due to their short maturities.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 xml:space="preserve">In June 2016, the FASB issued Accounting Standards Update (ASU) No. 2016-13, </w:t>
      </w:r>
      <w:r>
        <w:rPr>
          <w:rFonts w:ascii="Arial" w:cs="Arial" w:eastAsia="Arial" w:hAnsi="Arial"/>
          <w:sz w:val="16"/>
          <w:szCs w:val="16"/>
          <w:i w:val="1"/>
          <w:iCs w:val="1"/>
          <w:color w:val="auto"/>
        </w:rPr>
        <w:t>Financial Instruments—Credit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 Losses on Financial Instruments, </w:t>
      </w:r>
      <w:r>
        <w:rPr>
          <w:rFonts w:ascii="Arial" w:cs="Arial" w:eastAsia="Arial" w:hAnsi="Arial"/>
          <w:sz w:val="16"/>
          <w:szCs w:val="16"/>
          <w:color w:val="auto"/>
        </w:rPr>
        <w:t>which requires that financial assets measured at amortized cost be presented at the net amount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collected. Unrealized losses on available-for-sale debt securities that are attributed to credit risk are recorded through earnings rather than to other comprehensive income. Credit losses relating to available-for-sale debt securities are now recorded through an allowance for credit losses. The Company adopted this standard as of January 1, 2020, and the adoption of this standard did not result in a cumulative effect adjustment as of the date of the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121" w:right="35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 xml:space="preserve">On June 20, 2018, the FASB issued ASU No. 2018-07, </w:t>
      </w:r>
      <w:r>
        <w:rPr>
          <w:rFonts w:ascii="Arial" w:cs="Arial" w:eastAsia="Arial" w:hAnsi="Arial"/>
          <w:sz w:val="16"/>
          <w:szCs w:val="16"/>
          <w:i w:val="1"/>
          <w:iCs w:val="1"/>
          <w:color w:val="auto"/>
        </w:rPr>
        <w:t>Compensation—Stock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 Accounting, </w:t>
      </w:r>
      <w:r>
        <w:rPr>
          <w:rFonts w:ascii="Arial" w:cs="Arial" w:eastAsia="Arial" w:hAnsi="Arial"/>
          <w:sz w:val="16"/>
          <w:szCs w:val="16"/>
          <w:color w:val="auto"/>
        </w:rPr>
        <w:t>to reduce cost and complexity and to improve financial reporting for share-based payments issued to non-employees.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this standard for the year ended December 31, 2020, which did not have a material impact to its consolidated financial statements.</w:t>
      </w:r>
    </w:p>
    <w:p>
      <w:pPr>
        <w:spacing w:after="0" w:line="9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Disclosure Framework—Changes to the Disclosure Requirements for Fair Value Measurement,</w:t>
      </w:r>
      <w:r>
        <w:rPr>
          <w:rFonts w:ascii="Arial" w:cs="Arial" w:eastAsia="Arial" w:hAnsi="Arial"/>
          <w:sz w:val="18"/>
          <w:szCs w:val="18"/>
          <w:color w:val="auto"/>
        </w:rPr>
        <w:t xml:space="preserve"> which amends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This standard modifies the disclosure requirements for fair value measurements by removing, modifying, or adding certain disclosures. The Company adopted this standard as of January 1, 2020, which did not have a material impact on its consolidated financial statements.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ind w:right="220" w:firstLine="324"/>
        <w:spacing w:after="0" w:line="273"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This standard clarifies the definition of a lease and requires a lessee to recognize in the statement of financial position a liability to make lease payments (the lease liability) and a right-to-use asset representing its right to use the underlying asset for the lease term. In November 2019, the FASB issued ASU No. 2019-10 which extends the effective date of ASU No. 2016-02 for non-public business entities, including smaller reporting companies, to fiscal years beginning after December 15, 2021, and interim periods within fiscal years beginning after December 15, 2022. While the Company has not yet quantified the impact, these adjustments will increase total assets and total liabilities relative to such amounts reported prior to adoption.</w:t>
      </w:r>
    </w:p>
    <w:p>
      <w:pPr>
        <w:spacing w:after="0" w:line="124"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which is intended to simplify the accounting for income taxes. This standard removes certain exceptions to the general principles in Topic 740 and also clarifies and amends existing standards to improve consistent application. The amendments in this ASU are effective for fiscal years, and interim periods within those fiscal years, beginning after December 15, 2020. Additionally, an entity that elects early adoption must adopt all the amendments in the same period. The Company does not expect a material impact of this standard on its consolidated financial statements and related disclosures.</w:t>
      </w:r>
    </w:p>
    <w:p>
      <w:pPr>
        <w:spacing w:after="0" w:line="10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 xml:space="preserve">In January 2020, the FASB issued ASU No. 2020-01, </w:t>
      </w:r>
      <w:r>
        <w:rPr>
          <w:rFonts w:ascii="Arial" w:cs="Arial" w:eastAsia="Arial" w:hAnsi="Arial"/>
          <w:sz w:val="18"/>
          <w:szCs w:val="18"/>
          <w:i w:val="1"/>
          <w:iCs w:val="1"/>
          <w:color w:val="auto"/>
        </w:rPr>
        <w:t>Investments—Equity Securities (Topic 321), Investments—Equity Method and Joint Ventures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323), and Derivatives and Hedging (Topic 815)</w:t>
      </w:r>
      <w:r>
        <w:rPr>
          <w:rFonts w:ascii="Arial" w:cs="Arial" w:eastAsia="Arial" w:hAnsi="Arial"/>
          <w:sz w:val="18"/>
          <w:szCs w:val="18"/>
          <w:color w:val="auto"/>
        </w:rPr>
        <w:t>. This standard clarifies the interaction between accounting standards related to 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equity method investments, and certain derivative instruments. This standard is effective for fiscal years, and interim periods within those fiscal years, beginning after December 15, 2020. The Company is currently assessing the impact does not expect a material impact of this standard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121" w:right="35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FAIR VALUE OF FINANCIAL INSTRUMENTS</w:t>
      </w:r>
    </w:p>
    <w:p>
      <w:pPr>
        <w:spacing w:after="0" w:line="17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that were measured at fair value on a recurring basis by level within the fair value hierarchy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
        </w:trPr>
        <w:tc>
          <w:tcPr>
            <w:tcW w:w="28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28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26"/>
        </w:trPr>
        <w:tc>
          <w:tcPr>
            <w:tcW w:w="28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Classification:</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70"/>
        </w:trPr>
        <w:tc>
          <w:tcPr>
            <w:tcW w:w="28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220" w:type="dxa"/>
            <w:vAlign w:val="bottom"/>
          </w:tcPr>
          <w:p>
            <w:pPr>
              <w:ind w:left="40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333,585</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333,585</w:t>
            </w:r>
          </w:p>
        </w:tc>
      </w:tr>
      <w:tr>
        <w:trPr>
          <w:trHeight w:val="27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98,278</w:t>
            </w:r>
          </w:p>
        </w:tc>
        <w:tc>
          <w:tcPr>
            <w:tcW w:w="8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98,278</w:t>
            </w:r>
          </w:p>
        </w:tc>
      </w:tr>
      <w:tr>
        <w:trPr>
          <w:trHeight w:val="263"/>
        </w:trPr>
        <w:tc>
          <w:tcPr>
            <w:tcW w:w="2880" w:type="dxa"/>
            <w:vAlign w:val="bottom"/>
          </w:tcPr>
          <w:p>
            <w:pPr>
              <w:ind w:left="20"/>
              <w:spacing w:after="0"/>
              <w:rPr>
                <w:sz w:val="20"/>
                <w:szCs w:val="20"/>
                <w:color w:val="auto"/>
              </w:rPr>
            </w:pPr>
            <w:r>
              <w:rPr>
                <w:rFonts w:ascii="Arial" w:cs="Arial" w:eastAsia="Arial" w:hAnsi="Arial"/>
                <w:sz w:val="18"/>
                <w:szCs w:val="18"/>
                <w:color w:val="auto"/>
              </w:rPr>
              <w:t>Total assets measured at fair value</w:t>
            </w:r>
          </w:p>
        </w:tc>
        <w:tc>
          <w:tcPr>
            <w:tcW w:w="32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333,585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98,278</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431,863</w:t>
            </w:r>
          </w:p>
        </w:tc>
      </w:tr>
      <w:tr>
        <w:trPr>
          <w:trHeight w:val="21"/>
        </w:trPr>
        <w:tc>
          <w:tcPr>
            <w:tcW w:w="28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73"/>
        </w:trPr>
        <w:tc>
          <w:tcPr>
            <w:tcW w:w="28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
        </w:trPr>
        <w:tc>
          <w:tcPr>
            <w:tcW w:w="28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28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26"/>
        </w:trPr>
        <w:tc>
          <w:tcPr>
            <w:tcW w:w="28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Classification:</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70"/>
        </w:trPr>
        <w:tc>
          <w:tcPr>
            <w:tcW w:w="28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220" w:type="dxa"/>
            <w:vAlign w:val="bottom"/>
          </w:tcPr>
          <w:p>
            <w:pPr>
              <w:ind w:left="40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17,485</w:t>
            </w:r>
          </w:p>
        </w:tc>
      </w:tr>
      <w:tr>
        <w:trPr>
          <w:trHeight w:val="27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68,535</w:t>
            </w:r>
          </w:p>
        </w:tc>
        <w:tc>
          <w:tcPr>
            <w:tcW w:w="8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68,535</w:t>
            </w:r>
          </w:p>
        </w:tc>
      </w:tr>
      <w:tr>
        <w:trPr>
          <w:trHeight w:val="263"/>
        </w:trPr>
        <w:tc>
          <w:tcPr>
            <w:tcW w:w="2880" w:type="dxa"/>
            <w:vAlign w:val="bottom"/>
          </w:tcPr>
          <w:p>
            <w:pPr>
              <w:ind w:left="20"/>
              <w:spacing w:after="0"/>
              <w:rPr>
                <w:sz w:val="20"/>
                <w:szCs w:val="20"/>
                <w:color w:val="auto"/>
              </w:rPr>
            </w:pPr>
            <w:r>
              <w:rPr>
                <w:rFonts w:ascii="Arial" w:cs="Arial" w:eastAsia="Arial" w:hAnsi="Arial"/>
                <w:sz w:val="18"/>
                <w:szCs w:val="18"/>
                <w:color w:val="auto"/>
              </w:rPr>
              <w:t>Total assets measured at fair value</w:t>
            </w:r>
          </w:p>
        </w:tc>
        <w:tc>
          <w:tcPr>
            <w:tcW w:w="32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68,535</w:t>
            </w:r>
          </w:p>
        </w:tc>
        <w:tc>
          <w:tcPr>
            <w:tcW w:w="80" w:type="dxa"/>
            <w:vAlign w:val="bottom"/>
          </w:tcPr>
          <w:p>
            <w:pPr>
              <w:spacing w:after="0"/>
              <w:rPr>
                <w:sz w:val="22"/>
                <w:szCs w:val="22"/>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86,020</w:t>
            </w:r>
          </w:p>
        </w:tc>
      </w:tr>
      <w:tr>
        <w:trPr>
          <w:trHeight w:val="21"/>
        </w:trPr>
        <w:tc>
          <w:tcPr>
            <w:tcW w:w="28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There were no financial liabilities measured at fair value. The Company classifies money market funds within Level 1 of the fair value hierarchy because they are valued using bank balances or quoted market prices. The Company classifies its investments in U.S. Treasury securities (Treasury bills, Treasury notes, and Treasury bonds)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the Company’s cash equivalents and investments and the gross unrealized holding gains and losses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76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51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Amortized Cost Basis</w:t>
            </w: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5"/>
                <w:szCs w:val="15"/>
                <w:color w:val="auto"/>
              </w:rPr>
            </w:pPr>
          </w:p>
        </w:tc>
        <w:tc>
          <w:tcPr>
            <w:tcW w:w="120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70"/>
        </w:trPr>
        <w:tc>
          <w:tcPr>
            <w:tcW w:w="51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333,585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333,585</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98,278</w:t>
            </w:r>
          </w:p>
        </w:tc>
      </w:tr>
      <w:tr>
        <w:trPr>
          <w:trHeight w:val="224"/>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431,808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ind w:left="106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ind w:left="106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431,863</w:t>
            </w:r>
          </w:p>
        </w:tc>
      </w:tr>
      <w:tr>
        <w:trPr>
          <w:trHeight w:val="379"/>
        </w:trPr>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5"/>
          </w:tcPr>
          <w:p>
            <w:pPr>
              <w:ind w:left="76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
        </w:trPr>
        <w:tc>
          <w:tcPr>
            <w:tcW w:w="51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Amortized Cost Basis</w:t>
            </w: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5"/>
                <w:szCs w:val="15"/>
                <w:color w:val="auto"/>
              </w:rPr>
            </w:pPr>
          </w:p>
        </w:tc>
        <w:tc>
          <w:tcPr>
            <w:tcW w:w="120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70"/>
        </w:trPr>
        <w:tc>
          <w:tcPr>
            <w:tcW w:w="51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17,485</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68,535</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85,996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86,020</w:t>
            </w:r>
          </w:p>
        </w:tc>
      </w:tr>
      <w:tr>
        <w:trPr>
          <w:trHeight w:val="20"/>
        </w:trPr>
        <w:tc>
          <w:tcPr>
            <w:tcW w:w="5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As of December 31, 2020 and 2019, unrealized losses on available-for-sale investments are not attributable to credit risk and are considered to be temporary.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21" w:right="339" w:bottom="1440" w:gutter="0" w:footer="0" w:header="0"/>
        </w:sectPr>
      </w:pPr>
    </w:p>
    <w:bookmarkStart w:id="115" w:name="page116"/>
    <w:bookmarkEnd w:id="115"/>
    <w:p>
      <w:pPr>
        <w:jc w:val="center"/>
        <w:ind w:right="-25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declines in market value. As of December 31, 2020 and 2019, the weighted-average remaining maturity of the Company’s investment portfolio was less than one year.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4.</w:t>
            </w:r>
          </w:p>
        </w:tc>
        <w:tc>
          <w:tcPr>
            <w:tcW w:w="6100" w:type="dxa"/>
            <w:vAlign w:val="bottom"/>
            <w:gridSpan w:val="2"/>
          </w:tcPr>
          <w:p>
            <w:pPr>
              <w:ind w:left="420"/>
              <w:spacing w:after="0"/>
              <w:rPr>
                <w:sz w:val="20"/>
                <w:szCs w:val="20"/>
                <w:color w:val="auto"/>
              </w:rPr>
            </w:pPr>
            <w:r>
              <w:rPr>
                <w:rFonts w:ascii="Arial" w:cs="Arial" w:eastAsia="Arial" w:hAnsi="Arial"/>
                <w:sz w:val="18"/>
                <w:szCs w:val="18"/>
                <w:b w:val="1"/>
                <w:bCs w:val="1"/>
                <w:color w:val="auto"/>
              </w:rPr>
              <w:t>OTHER FINANCIAL STATEMENT INFORMATION</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0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rPr>
              <w:t>Other Receivables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00" w:type="dxa"/>
            <w:vAlign w:val="bottom"/>
            <w:gridSpan w:val="2"/>
          </w:tcPr>
          <w:p>
            <w:pPr>
              <w:ind w:left="100"/>
              <w:spacing w:after="0"/>
              <w:rPr>
                <w:sz w:val="20"/>
                <w:szCs w:val="20"/>
                <w:color w:val="auto"/>
              </w:rPr>
            </w:pPr>
            <w:r>
              <w:rPr>
                <w:rFonts w:ascii="Arial" w:cs="Arial" w:eastAsia="Arial" w:hAnsi="Arial"/>
                <w:sz w:val="18"/>
                <w:szCs w:val="18"/>
                <w:color w:val="auto"/>
              </w:rPr>
              <w:t>Other receivables consist of the following (in thousands):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gridSpan w:val="5"/>
          </w:tcPr>
          <w:p>
            <w:pPr>
              <w:jc w:val="right"/>
              <w:ind w:right="5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63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shd w:val="clear" w:color="auto" w:fill="CCEEFF"/>
          </w:tcPr>
          <w:p>
            <w:pPr>
              <w:spacing w:after="0"/>
              <w:rPr>
                <w:sz w:val="20"/>
                <w:szCs w:val="20"/>
                <w:color w:val="auto"/>
              </w:rPr>
            </w:pPr>
          </w:p>
        </w:tc>
        <w:tc>
          <w:tcPr>
            <w:tcW w:w="6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40" w:type="dxa"/>
            <w:vAlign w:val="bottom"/>
            <w:gridSpan w:val="3"/>
          </w:tcPr>
          <w:p>
            <w:pPr>
              <w:ind w:left="20"/>
              <w:spacing w:after="0"/>
              <w:rPr>
                <w:sz w:val="20"/>
                <w:szCs w:val="20"/>
                <w:color w:val="auto"/>
              </w:rPr>
            </w:pPr>
            <w:r>
              <w:rPr>
                <w:rFonts w:ascii="Arial" w:cs="Arial" w:eastAsia="Arial" w:hAnsi="Arial"/>
                <w:sz w:val="18"/>
                <w:szCs w:val="18"/>
                <w:color w:val="auto"/>
              </w:rPr>
              <w:t>Interest receivable</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318"/>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6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Grant receivable</w:t>
            </w:r>
          </w:p>
        </w:tc>
        <w:tc>
          <w:tcPr>
            <w:tcW w:w="96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142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other receivables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bottom w:val="single" w:sz="8" w:color="CCEEFF"/>
            </w:tcBorders>
            <w:gridSpan w:val="2"/>
            <w:vMerge w:val="restart"/>
          </w:tcPr>
          <w:p>
            <w:pPr>
              <w:ind w:left="10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40" w:type="dxa"/>
            <w:vAlign w:val="bottom"/>
          </w:tcPr>
          <w:p>
            <w:pPr>
              <w:spacing w:after="0"/>
              <w:rPr>
                <w:sz w:val="24"/>
                <w:szCs w:val="24"/>
                <w:color w:val="auto"/>
              </w:rPr>
            </w:pPr>
          </w:p>
        </w:tc>
        <w:tc>
          <w:tcPr>
            <w:tcW w:w="610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00" w:type="dxa"/>
            <w:vAlign w:val="bottom"/>
            <w:gridSpan w:val="2"/>
          </w:tcPr>
          <w:p>
            <w:pPr>
              <w:ind w:left="100"/>
              <w:spacing w:after="0"/>
              <w:rPr>
                <w:sz w:val="20"/>
                <w:szCs w:val="20"/>
                <w:color w:val="auto"/>
              </w:rPr>
            </w:pPr>
            <w:r>
              <w:rPr>
                <w:rFonts w:ascii="Arial" w:cs="Arial" w:eastAsia="Arial" w:hAnsi="Arial"/>
                <w:sz w:val="18"/>
                <w:szCs w:val="18"/>
                <w:color w:val="auto"/>
              </w:rPr>
              <w:t>Property and equipment, net consists of the following (in thousands):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gridSpan w:val="5"/>
          </w:tcPr>
          <w:p>
            <w:pPr>
              <w:jc w:val="right"/>
              <w:ind w:right="5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63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shd w:val="clear" w:color="auto" w:fill="CCEEFF"/>
          </w:tcPr>
          <w:p>
            <w:pPr>
              <w:spacing w:after="0"/>
              <w:rPr>
                <w:sz w:val="20"/>
                <w:szCs w:val="20"/>
                <w:color w:val="auto"/>
              </w:rPr>
            </w:pPr>
          </w:p>
        </w:tc>
        <w:tc>
          <w:tcPr>
            <w:tcW w:w="6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40" w:type="dxa"/>
            <w:vAlign w:val="bottom"/>
            <w:gridSpan w:val="3"/>
          </w:tcPr>
          <w:p>
            <w:pPr>
              <w:ind w:left="20"/>
              <w:spacing w:after="0"/>
              <w:rPr>
                <w:sz w:val="20"/>
                <w:szCs w:val="20"/>
                <w:color w:val="auto"/>
              </w:rPr>
            </w:pPr>
            <w:r>
              <w:rPr>
                <w:rFonts w:ascii="Arial" w:cs="Arial" w:eastAsia="Arial" w:hAnsi="Arial"/>
                <w:sz w:val="18"/>
                <w:szCs w:val="18"/>
                <w:color w:val="auto"/>
              </w:rPr>
              <w:t>Laboratory equipment</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338"/>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30"/>
        </w:trPr>
        <w:tc>
          <w:tcPr>
            <w:tcW w:w="6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6340" w:type="dxa"/>
            <w:vAlign w:val="bottom"/>
            <w:gridSpan w:val="3"/>
          </w:tcPr>
          <w:p>
            <w:pPr>
              <w:ind w:left="20"/>
              <w:spacing w:after="0"/>
              <w:rPr>
                <w:sz w:val="20"/>
                <w:szCs w:val="20"/>
                <w:color w:val="auto"/>
              </w:rPr>
            </w:pPr>
            <w:r>
              <w:rPr>
                <w:rFonts w:ascii="Arial" w:cs="Arial" w:eastAsia="Arial" w:hAnsi="Arial"/>
                <w:sz w:val="18"/>
                <w:szCs w:val="18"/>
                <w:color w:val="auto"/>
              </w:rPr>
              <w:t>Furniture and fixtures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6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2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10,792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6,432</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3"/>
        </w:trPr>
        <w:tc>
          <w:tcPr>
            <w:tcW w:w="6340" w:type="dxa"/>
            <w:vAlign w:val="bottom"/>
            <w:gridSpan w:val="3"/>
          </w:tcPr>
          <w:p>
            <w:pPr>
              <w:ind w:left="20"/>
              <w:spacing w:after="0"/>
              <w:rPr>
                <w:sz w:val="20"/>
                <w:szCs w:val="20"/>
                <w:color w:val="auto"/>
              </w:rPr>
            </w:pPr>
            <w:r>
              <w:rPr>
                <w:rFonts w:ascii="Arial" w:cs="Arial" w:eastAsia="Arial" w:hAnsi="Arial"/>
                <w:sz w:val="18"/>
                <w:szCs w:val="18"/>
                <w:color w:val="auto"/>
              </w:rPr>
              <w:t>Total property and equipment, net</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338"/>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5,687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Depreciation and amortization expense related to property and equipment was $1.6 million and $0.7 million for the years ended December 31, 2020 and 2019,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16"/>
                <w:szCs w:val="16"/>
                <w:color w:val="auto"/>
              </w:rPr>
            </w:pPr>
          </w:p>
        </w:tc>
      </w:tr>
      <w:tr>
        <w:trPr>
          <w:trHeight w:val="25"/>
        </w:trPr>
        <w:tc>
          <w:tcPr>
            <w:tcW w:w="6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6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573"/>
              <w:spacing w:after="0"/>
              <w:rPr>
                <w:sz w:val="20"/>
                <w:szCs w:val="20"/>
                <w:color w:val="auto"/>
              </w:rPr>
            </w:pPr>
            <w:r>
              <w:rPr>
                <w:rFonts w:ascii="Arial" w:cs="Arial" w:eastAsia="Arial" w:hAnsi="Arial"/>
                <w:sz w:val="14"/>
                <w:szCs w:val="14"/>
                <w:b w:val="1"/>
                <w:bCs w:val="1"/>
                <w:color w:val="auto"/>
              </w:rPr>
              <w:t>2019</w:t>
            </w:r>
          </w:p>
        </w:tc>
      </w:tr>
      <w:tr>
        <w:trPr>
          <w:trHeight w:val="25"/>
        </w:trPr>
        <w:tc>
          <w:tcPr>
            <w:tcW w:w="6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6"/>
        </w:trPr>
        <w:tc>
          <w:tcPr>
            <w:tcW w:w="6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2,866</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1,336</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Accrued property and equipment</w:t>
            </w:r>
          </w:p>
        </w:tc>
        <w:tc>
          <w:tcPr>
            <w:tcW w:w="10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liability, current</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DEFERRED 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and 2019, the Company recorded $0.3 million and $0.2 million of deferred revenue related to the following agreements.</w:t>
      </w:r>
    </w:p>
    <w:p>
      <w:pPr>
        <w:sectPr>
          <w:pgSz w:w="11900" w:h="16838" w:orient="portrait"/>
          <w:cols w:equalWidth="0" w:num="1">
            <w:col w:w="10980"/>
          </w:cols>
          <w:pgMar w:left="320" w:top="12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0980"/>
          </w:cols>
          <w:pgMar w:left="320" w:top="121" w:right="599" w:bottom="144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Agreements</w:t>
      </w:r>
    </w:p>
    <w:p>
      <w:pPr>
        <w:spacing w:after="0" w:line="17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 February 2019, the Company entered into a sponsored research agreement with a biotechnology company under which the Company is required to execute certain research and development activities as well as optional research and development activities if elected by the customer for total consideration payable of $0.4 million. During the year ended December 31, 2020 and 2019, the Company recognized research revenue of $0.3 million, which includes amounts deferred as of December 31, 2019, and $0.1 million with respect to the research agreement.</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March 2020, the Company entered into a sponsored research agreement with a pharmaceutical company under which the Company is required to execute certain research and development activities for total consideration payable of $0.5 million, of which $0.3 million was received and recorded as deferred revenue as of December 31, 2020. During the year ended December 31, 2020, the Company did not recognize any research revenue with respect to the research agreement.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NIH Grant</w:t>
      </w:r>
    </w:p>
    <w:p>
      <w:pPr>
        <w:spacing w:after="0" w:line="171"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In August 2019, the Company received a notice of a Small Business Innovation Research grant award from the National Institutes of Health, which will provide funding of approximately $1.1 million to the Company for its development of research applications. In June 2020, the Company received a notice that additional grant consideration of $0.9 million will be awarded. During the year ended December 31, 2020 and 2019, the Company recognized grant revenue of $0.4 million and $0.1 million with respect to the award.</w:t>
      </w:r>
    </w:p>
    <w:p>
      <w:pPr>
        <w:spacing w:after="0" w:line="129"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May 2019, the Company issued an aggregate of $0.4 million in convertible promissory notes (Notes) that accrue interest at a rate of 2.37% per annum and mature 10 years from the date of issuance. Upon the closing of the Company’s Series D convertible preferred stock offering in November 2019, the Notes were redeemed whereby all of the outstanding principal and accrued interest were converted into 58,231 shares of Series D convertible preferred stock at a conversion price of $6.96 per share, which was the issuance price of the Series D convertible preferred stock. The redemption of the Notes was accounted for as a debt extinguishment, and there was no gain or loss on extinguishment recorded.</w:t>
      </w:r>
    </w:p>
    <w:p>
      <w:pPr>
        <w:spacing w:after="0" w:line="118"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STOCKHOLDERS’ EQUITY</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December 31, 2020, the Company is authorized to issue 105,000,000 shares of capital stock consisting of 94,000,000 shares of Class A common stock, 6,000,000 shares of Class B common stock, and 5,000,000 shares of preferred stock.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Convertible preferred stock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Issue Price</w:t>
            </w:r>
          </w:p>
        </w:tc>
        <w:tc>
          <w:tcPr>
            <w:tcW w:w="500" w:type="dxa"/>
            <w:vAlign w:val="bottom"/>
          </w:tcPr>
          <w:p>
            <w:pPr>
              <w:spacing w:after="0"/>
              <w:rPr>
                <w:sz w:val="11"/>
                <w:szCs w:val="11"/>
                <w:color w:val="auto"/>
              </w:rPr>
            </w:pPr>
          </w:p>
        </w:tc>
        <w:tc>
          <w:tcPr>
            <w:tcW w:w="16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 Authorized</w:t>
            </w:r>
          </w:p>
        </w:tc>
        <w:tc>
          <w:tcPr>
            <w:tcW w:w="20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Shares Issued and</w:t>
            </w:r>
          </w:p>
        </w:tc>
        <w:tc>
          <w:tcPr>
            <w:tcW w:w="140" w:type="dxa"/>
            <w:vAlign w:val="bottom"/>
          </w:tcPr>
          <w:p>
            <w:pPr>
              <w:spacing w:after="0"/>
              <w:rPr>
                <w:sz w:val="11"/>
                <w:szCs w:val="11"/>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Carrying Value</w:t>
            </w:r>
          </w:p>
        </w:tc>
        <w:tc>
          <w:tcPr>
            <w:tcW w:w="15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Aggregate Liquidation</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2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34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1.95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3,087,477</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3,087,468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Series B</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3.80</w:t>
            </w:r>
          </w:p>
        </w:tc>
        <w:tc>
          <w:tcPr>
            <w:tcW w:w="1560" w:type="dxa"/>
            <w:vAlign w:val="bottom"/>
          </w:tcPr>
          <w:p>
            <w:pPr>
              <w:jc w:val="right"/>
              <w:spacing w:after="0"/>
              <w:rPr>
                <w:sz w:val="20"/>
                <w:szCs w:val="20"/>
                <w:color w:val="auto"/>
              </w:rPr>
            </w:pPr>
            <w:r>
              <w:rPr>
                <w:rFonts w:ascii="Arial" w:cs="Arial" w:eastAsia="Arial" w:hAnsi="Arial"/>
                <w:sz w:val="18"/>
                <w:szCs w:val="18"/>
                <w:color w:val="auto"/>
              </w:rPr>
              <w:t>7,906,761</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7,906,757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5.35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3,271,028</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3,271,023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D</w:t>
            </w:r>
          </w:p>
        </w:tc>
        <w:tc>
          <w:tcPr>
            <w:tcW w:w="11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91"/>
              </w:rPr>
              <w:t>6.96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7,907,979</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7,907,968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22,173,245</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22,173,216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108,500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 May 2020, the Company issued 6,853,571 shares of its Series D-1 convertible preferred stock in May 2020 at a price per share of $8.03 for net proceeds of $54.9 million. Immediately prior to the completion of the IPO,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21" w:right="33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convertible preferred stock converted into an aggregate of 29,026,787 shares of Class A 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 issued and outstanding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2180" w:type="dxa"/>
            <w:vAlign w:val="bottom"/>
            <w:gridSpan w:val="3"/>
          </w:tcPr>
          <w:p>
            <w:pPr>
              <w:ind w:left="120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16"/>
                <w:szCs w:val="16"/>
                <w:color w:val="auto"/>
              </w:rPr>
            </w:pPr>
          </w:p>
        </w:tc>
      </w:tr>
      <w:tr>
        <w:trPr>
          <w:trHeight w:val="26"/>
        </w:trPr>
        <w:tc>
          <w:tcPr>
            <w:tcW w:w="63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6340" w:type="dxa"/>
            <w:vAlign w:val="bottom"/>
          </w:tcPr>
          <w:p>
            <w:pPr>
              <w:spacing w:after="0"/>
              <w:rPr>
                <w:sz w:val="16"/>
                <w:szCs w:val="16"/>
                <w:color w:val="auto"/>
              </w:rPr>
            </w:pPr>
          </w:p>
        </w:tc>
        <w:tc>
          <w:tcPr>
            <w:tcW w:w="1580" w:type="dxa"/>
            <w:vAlign w:val="bottom"/>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ind w:right="575"/>
              <w:spacing w:after="0"/>
              <w:rPr>
                <w:sz w:val="20"/>
                <w:szCs w:val="20"/>
                <w:color w:val="auto"/>
              </w:rPr>
            </w:pPr>
            <w:r>
              <w:rPr>
                <w:rFonts w:ascii="Arial" w:cs="Arial" w:eastAsia="Arial" w:hAnsi="Arial"/>
                <w:sz w:val="14"/>
                <w:szCs w:val="14"/>
                <w:b w:val="1"/>
                <w:bCs w:val="1"/>
                <w:color w:val="auto"/>
              </w:rPr>
              <w:t>2019</w:t>
            </w:r>
          </w:p>
        </w:tc>
      </w:tr>
      <w:tr>
        <w:trPr>
          <w:trHeight w:val="26"/>
        </w:trPr>
        <w:tc>
          <w:tcPr>
            <w:tcW w:w="63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4"/>
        </w:trPr>
        <w:tc>
          <w:tcPr>
            <w:tcW w:w="6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53,395,319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2,847,893</w:t>
            </w:r>
          </w:p>
        </w:tc>
      </w:tr>
      <w:tr>
        <w:trPr>
          <w:trHeight w:val="22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Class B common stock</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5,865,732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9,345,784</w:t>
            </w: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common stock issued and outstanding</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59,261,051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12,193,677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20" w:firstLine="324"/>
        <w:spacing w:after="0" w:line="301" w:lineRule="auto"/>
        <w:rPr>
          <w:sz w:val="20"/>
          <w:szCs w:val="20"/>
          <w:color w:val="auto"/>
        </w:rPr>
      </w:pPr>
      <w:r>
        <w:rPr>
          <w:rFonts w:ascii="Arial" w:cs="Arial" w:eastAsia="Arial" w:hAnsi="Arial"/>
          <w:sz w:val="16"/>
          <w:szCs w:val="16"/>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Holders of common stock are entitled to dividends as declared by the Board of Directors, subject to rights of holders of all classes of stock outstanding having priority rights as to dividends. There have been no dividends declared to date.</w:t>
      </w:r>
    </w:p>
    <w:p>
      <w:pPr>
        <w:spacing w:after="0" w:line="99"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2017, the Company adopted the 2017 Stock Incentive Plan (2017 Plan), which provided for the granting of awards to employees, directors, and consultants of the Company. Awards issuable under the Plan include incentive stock options (ISO), nonqualified stock options (NSO), and restricted stock awards. In 2020, the Company adopted the 2020 RSU Equity Incentive Plan (2020 RSU Plan), which provided for the granting of RSUs to certain employees of the Company.</w:t>
      </w:r>
    </w:p>
    <w:p>
      <w:pPr>
        <w:spacing w:after="0" w:line="133"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In 2020, the Company adopted the 2020 Equity Incentive Plan (2020 Plan), which became effective in connection with the IPO. The Company’s 2017 Plan and 2020 RSU Plan were terminated in connection with the IPO and no further grants will be made under the 2017 Plan and 2020 RSU Plan from the date that the 2020 Plan became effective.</w:t>
      </w:r>
    </w:p>
    <w:p>
      <w:pPr>
        <w:spacing w:after="0" w:line="13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Stock options to purchase the Company’s Class A common stock may be granted at a price not less than the fair market value of the Company’s Class A common stock at the date of grant in the case of both NSOs and ISOs, except for grants of stock options to an employee or non-employee with options who owns more than 10% of the voting power of all classes of stock of the Company, in which case the exercise price shall be no less than 110% of the fair market value per Class A common stock on the grant date. The exercise price for an ISO cannot be less than the fair market value of the Class A common stock on the grant date. Stock options granted under the 2017 Plan and 2020 Plan generally vest over four years and expire no later than 10 years from the date of grant. 5,336,569 shares of Class A common stock were initially reserved for issuance under the 2020 Plan, which includes 516,710 shares that remained available for issuance under the 2017 Plan. As of December 31, 2020, there are 3,782,850 shares of Class A common stock available for issuance under the 2020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320" w:top="121" w:right="37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activity under the 2017 Plan and 2020 Plan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6"/>
                <w:szCs w:val="16"/>
                <w:color w:val="auto"/>
              </w:rPr>
            </w:pPr>
          </w:p>
        </w:tc>
        <w:tc>
          <w:tcPr>
            <w:tcW w:w="1440" w:type="dxa"/>
            <w:vAlign w:val="bottom"/>
          </w:tcPr>
          <w:p>
            <w:pPr>
              <w:jc w:val="right"/>
              <w:ind w:right="97"/>
              <w:spacing w:after="0"/>
              <w:rPr>
                <w:sz w:val="20"/>
                <w:szCs w:val="20"/>
                <w:color w:val="auto"/>
              </w:rPr>
            </w:pPr>
            <w:r>
              <w:rPr>
                <w:rFonts w:ascii="Arial" w:cs="Arial" w:eastAsia="Arial" w:hAnsi="Arial"/>
                <w:sz w:val="14"/>
                <w:szCs w:val="14"/>
                <w:b w:val="1"/>
                <w:bCs w:val="1"/>
                <w:color w:val="auto"/>
                <w:w w:val="97"/>
              </w:rPr>
              <w:t>Aggregate Intrinsic</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Remaining Term (Years)</w:t>
            </w:r>
          </w:p>
        </w:tc>
        <w:tc>
          <w:tcPr>
            <w:tcW w:w="120" w:type="dxa"/>
            <w:vAlign w:val="bottom"/>
          </w:tcPr>
          <w:p>
            <w:pPr>
              <w:spacing w:after="0"/>
              <w:rPr>
                <w:sz w:val="16"/>
                <w:szCs w:val="16"/>
                <w:color w:val="auto"/>
              </w:rPr>
            </w:pPr>
          </w:p>
        </w:tc>
        <w:tc>
          <w:tcPr>
            <w:tcW w:w="1440" w:type="dxa"/>
            <w:vAlign w:val="bottom"/>
          </w:tcPr>
          <w:p>
            <w:pPr>
              <w:jc w:val="right"/>
              <w:ind w:right="77"/>
              <w:spacing w:after="0"/>
              <w:rPr>
                <w:sz w:val="20"/>
                <w:szCs w:val="20"/>
                <w:color w:val="auto"/>
              </w:rPr>
            </w:pPr>
            <w:r>
              <w:rPr>
                <w:rFonts w:ascii="Arial" w:cs="Arial" w:eastAsia="Arial" w:hAnsi="Arial"/>
                <w:sz w:val="14"/>
                <w:szCs w:val="14"/>
                <w:b w:val="1"/>
                <w:bCs w:val="1"/>
                <w:color w:val="auto"/>
                <w:w w:val="91"/>
              </w:rPr>
              <w:t>Value (in thousands)</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2019</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2,176,102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0.84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8.86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560" w:type="dxa"/>
            <w:vAlign w:val="bottom"/>
          </w:tcPr>
          <w:p>
            <w:pPr>
              <w:jc w:val="right"/>
              <w:spacing w:after="0"/>
              <w:rPr>
                <w:sz w:val="20"/>
                <w:szCs w:val="20"/>
                <w:color w:val="auto"/>
              </w:rPr>
            </w:pPr>
            <w:r>
              <w:rPr>
                <w:rFonts w:ascii="Arial" w:cs="Arial" w:eastAsia="Arial" w:hAnsi="Arial"/>
                <w:sz w:val="18"/>
                <w:szCs w:val="18"/>
                <w:color w:val="231F20"/>
              </w:rPr>
              <w:t>8,940,283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6.07</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(725,579)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 and 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(839,701)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2.15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9,551,105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483,194</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December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1,349,357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weighted-average grant-date fair value of stock options granted to employees during the years ended December 31, 2020 and 2019, was $4.26 and $1.61 per share, respectively. The total intrinsic value of stock options exercised during the years ended December 31, 2020 and 2019, was $1.6 million and $0.2 million,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fair value of stock options granted to employees, directors, and non-employees is calculated using the Black-Scholes option pricing model using the following assumptions: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Year Ended December 31,</w:t>
            </w:r>
          </w:p>
        </w:tc>
        <w:tc>
          <w:tcPr>
            <w:tcW w:w="880" w:type="dxa"/>
            <w:vAlign w:val="bottom"/>
            <w:tcBorders>
              <w:bottom w:val="single" w:sz="8" w:color="auto"/>
            </w:tcBorders>
          </w:tcPr>
          <w:p>
            <w:pPr>
              <w:spacing w:after="0"/>
              <w:rPr>
                <w:sz w:val="16"/>
                <w:szCs w:val="16"/>
                <w:color w:val="auto"/>
              </w:rPr>
            </w:pPr>
          </w:p>
        </w:tc>
      </w:tr>
      <w:tr>
        <w:trPr>
          <w:trHeight w:val="187"/>
        </w:trPr>
        <w:tc>
          <w:tcPr>
            <w:tcW w:w="4280" w:type="dxa"/>
            <w:vAlign w:val="bottom"/>
          </w:tcPr>
          <w:p>
            <w:pPr>
              <w:spacing w:after="0"/>
              <w:rPr>
                <w:sz w:val="16"/>
                <w:szCs w:val="16"/>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68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4"/>
                <w:szCs w:val="14"/>
                <w:b w:val="1"/>
                <w:bCs w:val="1"/>
                <w:color w:val="auto"/>
              </w:rPr>
              <w:t>2019</w:t>
            </w:r>
          </w:p>
        </w:tc>
      </w:tr>
      <w:tr>
        <w:trPr>
          <w:trHeight w:val="238"/>
        </w:trPr>
        <w:tc>
          <w:tcPr>
            <w:tcW w:w="4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- 2.6%</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800" w:type="dxa"/>
            <w:vAlign w:val="bottom"/>
          </w:tcPr>
          <w:p>
            <w:pPr>
              <w:jc w:val="right"/>
              <w:spacing w:after="0"/>
              <w:rPr>
                <w:sz w:val="20"/>
                <w:szCs w:val="20"/>
                <w:color w:val="auto"/>
              </w:rPr>
            </w:pPr>
            <w:r>
              <w:rPr>
                <w:rFonts w:ascii="Arial" w:cs="Arial" w:eastAsia="Arial" w:hAnsi="Arial"/>
                <w:sz w:val="18"/>
                <w:szCs w:val="18"/>
                <w:color w:val="auto"/>
              </w:rPr>
              <w:t>62.2%</w:t>
            </w:r>
          </w:p>
        </w:tc>
        <w:tc>
          <w:tcPr>
            <w:tcW w:w="880" w:type="dxa"/>
            <w:vAlign w:val="bottom"/>
          </w:tcPr>
          <w:p>
            <w:pPr>
              <w:ind w:left="20"/>
              <w:spacing w:after="0"/>
              <w:rPr>
                <w:sz w:val="20"/>
                <w:szCs w:val="20"/>
                <w:color w:val="auto"/>
              </w:rPr>
            </w:pPr>
            <w:r>
              <w:rPr>
                <w:rFonts w:ascii="Arial" w:cs="Arial" w:eastAsia="Arial" w:hAnsi="Arial"/>
                <w:sz w:val="18"/>
                <w:szCs w:val="18"/>
                <w:color w:val="auto"/>
              </w:rPr>
              <w:t>- 70.6%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74.7%</w:t>
            </w:r>
          </w:p>
        </w:tc>
        <w:tc>
          <w:tcPr>
            <w:tcW w:w="880" w:type="dxa"/>
            <w:vAlign w:val="bottom"/>
          </w:tcPr>
          <w:p>
            <w:pPr>
              <w:ind w:left="20"/>
              <w:spacing w:after="0"/>
              <w:rPr>
                <w:sz w:val="20"/>
                <w:szCs w:val="20"/>
                <w:color w:val="auto"/>
              </w:rPr>
            </w:pPr>
            <w:r>
              <w:rPr>
                <w:rFonts w:ascii="Arial" w:cs="Arial" w:eastAsia="Arial" w:hAnsi="Arial"/>
                <w:sz w:val="18"/>
                <w:szCs w:val="18"/>
                <w:color w:val="auto"/>
              </w:rPr>
              <w:t>- 77.7%</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5.00 - 10.00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- 9.49</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78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Certain stock options granted under the 2017 Plan provide stock option holders the right to exercise unvested stock options in exchange for restricted shares of Class A common stock. The Company has also issued restricted shares of Class A common stock to employees and directors under the 2017 Plan. The restricted shares of Class A common stock related to early exercised stock options and restricted shares of Class A common stock awards are subject to repurchase by the Company at the original purchase price in the event that the optionee’s employment is terminated prior to the shares vesting. The consideration received for early exercised stock options and for shares sold pursuant to restricted stock purchase agreements is recorded as a liability on the consolidated balance sheets and reclassified to stockholders’ equity as the shares vest.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activity of restricted shares of Class A common stock under the 2017 Plan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7280" w:type="dxa"/>
            <w:vAlign w:val="bottom"/>
          </w:tcPr>
          <w:p>
            <w:pPr>
              <w:spacing w:after="0"/>
              <w:rPr>
                <w:sz w:val="11"/>
                <w:szCs w:val="11"/>
                <w:color w:val="auto"/>
              </w:rPr>
            </w:pPr>
          </w:p>
        </w:tc>
        <w:tc>
          <w:tcPr>
            <w:tcW w:w="19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1"/>
                <w:szCs w:val="11"/>
                <w:color w:val="auto"/>
              </w:rPr>
            </w:pP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728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1,499,715</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spacing w:after="0"/>
              <w:rPr>
                <w:sz w:val="20"/>
                <w:szCs w:val="20"/>
                <w:color w:val="auto"/>
              </w:rPr>
            </w:pPr>
            <w:r>
              <w:rPr>
                <w:rFonts w:ascii="Arial" w:cs="Arial" w:eastAsia="Arial" w:hAnsi="Arial"/>
                <w:sz w:val="18"/>
                <w:szCs w:val="18"/>
                <w:color w:val="auto"/>
              </w:rPr>
              <w:t>448,881</w:t>
            </w:r>
          </w:p>
        </w:tc>
        <w:tc>
          <w:tcPr>
            <w:tcW w:w="2020" w:type="dxa"/>
            <w:vAlign w:val="bottom"/>
            <w:gridSpan w:val="2"/>
          </w:tcPr>
          <w:p>
            <w:pPr>
              <w:jc w:val="right"/>
              <w:ind w:right="4"/>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(382,360)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(790,595)</w:t>
            </w:r>
          </w:p>
        </w:tc>
        <w:tc>
          <w:tcPr>
            <w:tcW w:w="2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775,641</w:t>
            </w:r>
          </w:p>
        </w:tc>
        <w:tc>
          <w:tcPr>
            <w:tcW w:w="2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fair value of the restricted shares of Class A common stock that vested during the years ended December 31, 2020 and 2019, was $0.4 million and $0.3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21" w:right="3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RSUs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year ended December 31, 2020, the Company granted certain employees 491,318 RSUs under the 2020 RSU Plan and 2020 Plan that entitle the holders to receive shares of Class A common stock upon vesting. The weighted-average grant date fair value of the RSUs was $7.91 per share. The RSUs vest upon satisfaction of both a service condition and a performance condition that was satisfied upon the closing of the IPO. The RSUs generally vest over a two- or three-year period in two equal installments at the one-year anniversary and two- or three-year anniversary of the vesting start date, which is either the date of the IPO or January 1, 2021. No RSUs vested or were forfeited during the year ended December 31, 2020, and there were no RSUs granted prior to 2020.</w:t>
      </w:r>
    </w:p>
    <w:p>
      <w:pPr>
        <w:spacing w:after="0" w:line="138"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Company recorded $0.5 million in stock-based compensation for RSUs during the year ended December 31, 2020, which includes $0.3 million of cumulative stock-based compensation upon the IPO for the service period rendered from the date of grant through the completion of the IPO.</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 Stock Purchase Plan</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November 2020, the Company’s board of directors adopted the 2020 Employee Stock Purchase Plan (ESPP), which was subsequently approved by the Company’s stockholders and became effective in connection with the IPO. A total of 602,570 shares of Class A common stock were reserved for issuance under the ESPP. The first offering period has not commenced as of December 31, 2020 and there is no stock-based compensation related to the ESPP for the year ended December 31, 2020.</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recognized in the Company’s consolidated statements of operations and comprehensive loss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60" w:type="dxa"/>
            <w:vAlign w:val="bottom"/>
            <w:gridSpan w:val="3"/>
          </w:tcPr>
          <w:p>
            <w:pPr>
              <w:jc w:val="center"/>
              <w:ind w:right="236"/>
              <w:spacing w:after="0"/>
              <w:rPr>
                <w:sz w:val="20"/>
                <w:szCs w:val="20"/>
                <w:color w:val="auto"/>
              </w:rPr>
            </w:pPr>
            <w:r>
              <w:rPr>
                <w:rFonts w:ascii="Arial" w:cs="Arial" w:eastAsia="Arial" w:hAnsi="Arial"/>
                <w:sz w:val="14"/>
                <w:szCs w:val="14"/>
                <w:b w:val="1"/>
                <w:bCs w:val="1"/>
                <w:color w:val="auto"/>
                <w:w w:val="93"/>
              </w:rPr>
              <w:t>Year Ended December 31,</w:t>
            </w:r>
          </w:p>
        </w:tc>
        <w:tc>
          <w:tcPr>
            <w:tcW w:w="620" w:type="dxa"/>
            <w:vAlign w:val="bottom"/>
          </w:tcPr>
          <w:p>
            <w:pPr>
              <w:spacing w:after="0"/>
              <w:rPr>
                <w:sz w:val="16"/>
                <w:szCs w:val="16"/>
                <w:color w:val="auto"/>
              </w:rPr>
            </w:pPr>
          </w:p>
        </w:tc>
      </w:tr>
      <w:tr>
        <w:trPr>
          <w:trHeight w:val="26"/>
        </w:trPr>
        <w:tc>
          <w:tcPr>
            <w:tcW w:w="44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4"/>
        </w:trPr>
        <w:tc>
          <w:tcPr>
            <w:tcW w:w="4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6"/>
                <w:szCs w:val="16"/>
                <w:color w:val="auto"/>
              </w:rPr>
            </w:pPr>
          </w:p>
        </w:tc>
      </w:tr>
      <w:tr>
        <w:trPr>
          <w:trHeight w:val="25"/>
        </w:trPr>
        <w:tc>
          <w:tcPr>
            <w:tcW w:w="44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6"/>
        </w:trPr>
        <w:tc>
          <w:tcPr>
            <w:tcW w:w="4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99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3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6,449</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center"/>
              <w:ind w:right="9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As of December 31, 2020, the total unrecognized stock-based compensation related to unvested stock options, restricted stock awards, and restricted stock units was $37.4 million, which the Company expects to recognize over a remaining weighted-average period of 1.88 years.</w:t>
      </w:r>
    </w:p>
    <w:p>
      <w:pPr>
        <w:spacing w:after="0" w:line="92"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connection with the PrognomIQ transaction (see Note 11) and pursuant to the anti-dilution provisions included in the 2017 Plan, certain adjustments were made to the number and exercise price of the outstanding awards granted to the Company’s employees and directors to maintain the aggregate intrinsic value of the awards at the date of the transaction, which were accounted for as a modification of the awards. Except for the number of the adjusted awards, the material terms of the awards remained unchanged, and the awards continue to vest over their original vesting period. The impact of these adjustments did not have a material impact on the Company’s consolidated financial statements for the year ended December 31, 2020.</w:t>
      </w:r>
    </w:p>
    <w:p>
      <w:pPr>
        <w:spacing w:after="0" w:line="10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October 2020, in connection with the transition of our former Chief Business Officer to a consulting role, the vesting of 461,876 share-based awards were accelerated. An additional 76,304 options to purchase Class A common stock are expected to vest over the term of the consulting agreement pursuant to the terms and conditions of the original options. The total amount of stock-based compensation associated with the modification is $2.8 million, of which $2.3 million was recorded on the date of the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121" w:right="35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sponsors a qualified 401(k) defined contribution plan covering eligible employees. Participants may contribute a portion of their annual compensation limited to a maximum annual amount set by the Internal Revenue Service. There were no employer contributions under this plan for fiscal 2020 and 2019.</w:t>
      </w:r>
    </w:p>
    <w:p>
      <w:pPr>
        <w:spacing w:after="0" w:line="126"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Facility Lease Agreement</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On March 1, 2018, the Company entered into an 18-month sublease agreement for its facility in South San Francisco, California. In March 2019, the Company extended the lease term until December 31, 2019.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January 4, 2019, the Company entered into a new lease agreement for office and laboratory space in Redwood City, California. The lease term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commenced in November 2019 and ends on September 30, 2029. As of December 31, 2019, the Company had moved into this facility and no longer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occupied the facility in South San Francisco. In connection with the lease, the Company maintains a letter of credit issued to the lessor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which is secured by restricted cash that is classified as non-current at December 31, 2020 and 2019 based on the term of the underlying lease.</w:t>
      </w:r>
    </w:p>
    <w:p>
      <w:pPr>
        <w:spacing w:after="0" w:line="18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entered into an amendment to the lease agreement with respect to its facility in Redwood City, California in June 2020. The amendment is accounted for as a new operating lease. The amendment makes certain changes to the original lease, including (i) additional office and laboratory space in the same building (Expansion Premises) and (ii) an extension of the expiration date of the original lease to 127.5 months following the delivery date of the Expansion Premises, which is estimated to be September 1, 2021.</w:t>
      </w:r>
    </w:p>
    <w:p>
      <w:pPr>
        <w:spacing w:after="0" w:line="133"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The amendment provides for annual base rent for the Expansion Premises of approximately $0.9 million in the first year of the lease term (subject to an abatement period of nine months), which increases on an annual basis to approximately $1.2 million in the final year of the lease term. The amendment also provides for tenant incentives in the amount of $2.4 million. Under the amendment, the Company retains its original option to renew the lease for an additional five-year term, at then-current market rates.</w:t>
      </w:r>
    </w:p>
    <w:p>
      <w:pPr>
        <w:spacing w:after="0" w:line="133"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During the period from the lease amendment commencement until the earlier of one month after occupancy of the Expansion Premises or September 2021, the Company will be provided with temporary space. The Company is not required to pay additional rent for the temporary space, but is required to pay property taxes, insurance and normal maintenance costs with respect to the temporary space.</w:t>
      </w:r>
    </w:p>
    <w:p>
      <w:pPr>
        <w:spacing w:after="0" w:line="130"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Rent expense was $0.7 million and $0.6 million for the years ended December 31, 2020 and 2019, respectively. The Company is required to pay property taxes, insurance, and normal maintenance costs for the facility and will be required to pay any increases over the base year of these expenses.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future minimum commitments under the Company’s non-cancelable facility operating lease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1,279</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1,833</w:t>
            </w:r>
          </w:p>
        </w:tc>
      </w:tr>
      <w:tr>
        <w:trPr>
          <w:trHeight w:val="229"/>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12,792</w:t>
            </w:r>
          </w:p>
        </w:tc>
      </w:tr>
      <w:tr>
        <w:trPr>
          <w:trHeight w:val="248"/>
        </w:trPr>
        <w:tc>
          <w:tcPr>
            <w:tcW w:w="9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20,366</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21"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December 31, 2020 and 2019, the Company does not have any material indemnification claims that were probable or reasonably possible and consequently has not recorded related liabilities.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The Company is not currently a party to any material legal proceedings.</w:t>
      </w:r>
    </w:p>
    <w:p>
      <w:pPr>
        <w:spacing w:after="0" w:line="112" w:lineRule="exact"/>
        <w:rPr>
          <w:sz w:val="20"/>
          <w:szCs w:val="20"/>
          <w:color w:val="auto"/>
        </w:rPr>
      </w:pPr>
    </w:p>
    <w:p>
      <w:pPr>
        <w:ind w:left="640" w:hanging="632"/>
        <w:spacing w:after="0"/>
        <w:tabs>
          <w:tab w:leader="none" w:pos="6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PROGNOMIQ, INC.</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spacing w:after="0" w:line="13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Following the distribution in August 2020, and a subsequent $55.0 million equity financing of PrognomIQ by outside investors, the Company retained a non-controlling equity interest consisting of all the outstanding shares of PrognomIQ’s common stock and representing approximately 19% of total equity interests of PrognomIQ as of December 31, 2020. The Company has accounted for the transfer of certain assets to PrognomIQ as a common control transaction based on the carrying value of the net assets transferred and therefore there was no gain or loss recorded. The carrying value of the net assets transferred to PrognomIQ was nil, except for a cash contribution of $0.1 million.</w:t>
      </w:r>
    </w:p>
    <w:p>
      <w:pPr>
        <w:spacing w:after="0" w:line="13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has concluded that as of the time of the transaction and as of the $55.0 million equity financing of PrognomIQ by outside investors, which was determined to be a VIE reconsideration event, PrognomIQ is a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In performing this analysis, the Company considered its explicit and implicit arrangements with PrognomIQ, a related party, and determined its maximum financial statement exposure related to the investment was its initial investment of $0.1 million.</w:t>
      </w:r>
    </w:p>
    <w:p>
      <w:pPr>
        <w:spacing w:after="0" w:line="13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has determined that it has the ability to exercise significant influence over PrognomIQ and therefore has accounted for its investment in PrognomIQ using the equity method. During the year ended December 31, 2020, the carrying value of the Company’s investment in PrognomIQ was reduced to nil after recognizing net losses based on its percentage of ownership in PrognomIQ.</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connection with the transaction, Omid Farokhzad, the Company’s Chief Executive Officer and Chairman of the Board, was appointed as the chair of PrognomIQ’s board of directors. Additionally, Philip Ma resigned from his position as the Company’s Chief Business Officer and transitioned to the full-time Chief Executive Officer of PrognomIQ, effective October 15, 2020.</w:t>
      </w:r>
    </w:p>
    <w:p>
      <w:pPr>
        <w:spacing w:after="0" w:line="13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PrognomIQ constitutes a related party and as of December 31, 2020, the Company recorded $0.1 million in other receivables, related parties on the consolidated balance sheet representing amounts due for general transition services and support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21"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Company's pro-rata distribution to its stockholders of most of the shares of capital stock of PrognomIQ resulted in a taxable gain of $6.4 million in August 2020. Due to the net loss incurred for the year ended December 31, 2020, the Company's net operating loss carryforwards, and the full valuation allowance recorded against the Company's net deferred tax assets, there is no income tax expense reflected on the consolidated statement of operations and comprehensive loss for the year ended December 31, 2020 related to this distribution.</w:t>
      </w:r>
    </w:p>
    <w:p>
      <w:pPr>
        <w:spacing w:after="0" w:line="113"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computation of basic and diluted net loss per share (in thousands, except share and per share data):</w:t>
      </w:r>
    </w:p>
    <w:p>
      <w:pPr>
        <w:spacing w:after="0" w:line="203"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23495</wp:posOffset>
            </wp:positionV>
            <wp:extent cx="20485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8620"/>
        <w:spacing w:after="0"/>
        <w:tabs>
          <w:tab w:leader="none" w:pos="102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23495</wp:posOffset>
            </wp:positionV>
            <wp:extent cx="20485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Numerator:</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792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920" w:type="dxa"/>
            <w:vAlign w:val="bottom"/>
          </w:tcPr>
          <w:p>
            <w:pPr>
              <w:spacing w:after="0" w:line="176" w:lineRule="exact"/>
              <w:rPr>
                <w:sz w:val="20"/>
                <w:szCs w:val="20"/>
                <w:color w:val="auto"/>
              </w:rPr>
            </w:pPr>
            <w:r>
              <w:rPr>
                <w:rFonts w:ascii="Arial" w:cs="Arial" w:eastAsia="Arial" w:hAnsi="Arial"/>
                <w:sz w:val="18"/>
                <w:szCs w:val="18"/>
                <w:color w:val="auto"/>
                <w:w w:val="89"/>
              </w:rPr>
              <w:t>Weighted-average common shares used in computing net loss per share attributable to common stockholders,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92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-890905</wp:posOffset>
            </wp:positionV>
            <wp:extent cx="710628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06285"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0628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jc w:val="right"/>
              <w:ind w:right="30"/>
              <w:spacing w:after="0"/>
              <w:rPr>
                <w:sz w:val="20"/>
                <w:szCs w:val="20"/>
                <w:color w:val="auto"/>
              </w:rPr>
            </w:pPr>
            <w:r>
              <w:rPr>
                <w:rFonts w:ascii="Arial" w:cs="Arial" w:eastAsia="Arial" w:hAnsi="Arial"/>
                <w:sz w:val="18"/>
                <w:szCs w:val="18"/>
                <w:color w:val="auto"/>
              </w:rPr>
              <w:t>(32,775)</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980" w:type="dxa"/>
            <w:vAlign w:val="bottom"/>
          </w:tcPr>
          <w:p>
            <w:pPr>
              <w:jc w:val="right"/>
              <w:ind w:right="90"/>
              <w:spacing w:after="0"/>
              <w:rPr>
                <w:sz w:val="20"/>
                <w:szCs w:val="20"/>
                <w:color w:val="auto"/>
              </w:rPr>
            </w:pPr>
            <w:r>
              <w:rPr>
                <w:rFonts w:ascii="Arial" w:cs="Arial" w:eastAsia="Arial" w:hAnsi="Arial"/>
                <w:sz w:val="18"/>
                <w:szCs w:val="18"/>
                <w:color w:val="auto"/>
                <w:w w:val="86"/>
              </w:rPr>
              <w:t>13,216,657</w:t>
            </w: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6,952,419</w:t>
            </w:r>
          </w:p>
        </w:tc>
        <w:tc>
          <w:tcPr>
            <w:tcW w:w="0" w:type="dxa"/>
            <w:vAlign w:val="bottom"/>
          </w:tcPr>
          <w:p>
            <w:pPr>
              <w:spacing w:after="0"/>
              <w:rPr>
                <w:sz w:val="1"/>
                <w:szCs w:val="1"/>
                <w:color w:val="auto"/>
              </w:rPr>
            </w:pPr>
          </w:p>
        </w:tc>
      </w:tr>
      <w:tr>
        <w:trPr>
          <w:trHeight w:val="21"/>
        </w:trPr>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(2.48)</w:t>
            </w: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980" w:type="dxa"/>
            <w:vAlign w:val="bottom"/>
            <w:vMerge w:val="continue"/>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-7620</wp:posOffset>
            </wp:positionV>
            <wp:extent cx="9944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-213995</wp:posOffset>
            </wp:positionV>
            <wp:extent cx="9944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-616585</wp:posOffset>
            </wp:positionV>
            <wp:extent cx="9944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8080" w:space="580"/>
            <w:col w:w="2580"/>
          </w:cols>
          <w:pgMar w:left="320" w:top="121" w:right="339" w:bottom="1440" w:gutter="0" w:footer="0" w:header="0"/>
          <w:type w:val="continuous"/>
        </w:sectPr>
      </w:pPr>
    </w:p>
    <w:p>
      <w:pPr>
        <w:ind w:right="400" w:firstLine="324"/>
        <w:spacing w:after="0" w:line="342" w:lineRule="auto"/>
        <w:rPr>
          <w:sz w:val="20"/>
          <w:szCs w:val="20"/>
          <w:color w:val="auto"/>
        </w:rPr>
      </w:pPr>
      <w:r>
        <w:rPr>
          <w:rFonts w:ascii="Arial" w:cs="Arial" w:eastAsia="Arial" w:hAnsi="Arial"/>
          <w:sz w:val="16"/>
          <w:szCs w:val="16"/>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216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7920" w:type="dxa"/>
            <w:vAlign w:val="bottom"/>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38"/>
        </w:trPr>
        <w:tc>
          <w:tcPr>
            <w:tcW w:w="79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21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22,173,216</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Class A common stock options issued and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9,551,105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2,176,102</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common stock subject to future vesting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3,552,409</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units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491,318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10,818,064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27,901,727</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Income tax expense differs from the amount computed by applying the statutory federal income tax rate due to the following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260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6"/>
                <w:szCs w:val="16"/>
                <w:color w:val="auto"/>
              </w:rPr>
            </w:pPr>
          </w:p>
        </w:tc>
      </w:tr>
      <w:tr>
        <w:trPr>
          <w:trHeight w:val="25"/>
        </w:trPr>
        <w:tc>
          <w:tcPr>
            <w:tcW w:w="8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1"/>
        </w:trPr>
        <w:tc>
          <w:tcPr>
            <w:tcW w:w="80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r>
      <w:tr>
        <w:trPr>
          <w:trHeight w:val="184"/>
        </w:trPr>
        <w:tc>
          <w:tcPr>
            <w:tcW w:w="8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7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benefits at statutory rate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(6,859)</w:t>
            </w: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(3,347)</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(1,065)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(1,264)</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Permanent differences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PrognomIQ transaction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63"/>
        </w:trPr>
        <w:tc>
          <w:tcPr>
            <w:tcW w:w="804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80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21" w:right="339" w:bottom="144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Deferred income tax reflects the tax effects of temporary differences between the carrying amounts of assets and liabilities for financial reporting purposes and the amounts used for income tax purposes. The categories that give rise to components of the deferred tax assets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9,374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reserves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deferred tax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Fixed assets and intangibles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deferred tax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deferred tax assets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tax benefit of net operating losses, temporary differences, and credit carryforwards are recorded as an asset to the extent that management assesses that realization is “more likely than not.” Management assesses the available positive and negative evidence to estimate whether sufficient future taxable income will be generated to permit use of existing deferred. A significant piece of objective negative evidence evaluated was the cumulative loss incurred since the Company’s incorporation in 2017. Such objective evidence limits the ability to consider other subjective evidence, such as our projections for future growth. On the basis of this evaluation, as of December 31, 2020 and 2019, a full valuation allowance has been recorded against the Company’s net deferred tax assets. The amount of the net deferred tax assets considered realizable, could be adjusted as estimates of future taxable income during the carryforward period are reduced or increased or if objective negative evidence in the form of cumulative losses is no longer present and additional weight is given to subjective evidence such as our projections for growth. For the years ended December 31, 2020 and 2019, the net changes in the net valuation allowance were an increase of $6.2 million and an increase of $4.8 million, respectively.</w:t>
      </w:r>
    </w:p>
    <w:p>
      <w:pPr>
        <w:spacing w:after="0" w:line="127"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As of December 31, 2020 and 2019, the Company had federal net operating loss carryforwards of approximately $36.2 million and $18.4 million, respectively, which will carry forward indefinitely. At December 31, 2020 and 2019, the Company had state net operating loss carryforwards of approximately $33.0 million and $16.7 million, respectively, which will begin to expire in 2031 for state tax purposes.</w:t>
      </w:r>
    </w:p>
    <w:p>
      <w:pPr>
        <w:spacing w:after="0" w:line="11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As of December 31, 2020 and 2019, the Company had federal research and development credit carryforwards of approximately $0.2 million and</w:t>
      </w:r>
    </w:p>
    <w:p>
      <w:pPr>
        <w:spacing w:after="0" w:line="3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$0.4 million, respectively, which begin to expire in 2037 and state research and development credit carryforwards of approximately $0.7 million and $0.5 million, respectively, which will carry forward indefinitely.</w:t>
      </w:r>
    </w:p>
    <w:p>
      <w:pPr>
        <w:spacing w:after="0" w:line="13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Utilization of the Company’s federal and state net operating loss and tax credit carryforwards may be subject to an annual limitation in the event that there is a change in ownership as provided by Section 382 of the Internal Revenue Code and similar state codes. Such limitation could result in a deferral or expiration of the utilization of the net operating loss and tax credit carryforwards. The Company has not performed a Section 382 study in the current year. The Company does not believe that per Section 382 there will be a deferral or limitation on the utilization of the net operating loss and tax credit carryforwards.</w:t>
      </w:r>
    </w:p>
    <w:p>
      <w:pPr>
        <w:spacing w:after="0" w:line="134"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As of December 31, 2020 and 2019, the Company had unrecognized tax benefits of approximately $0.3 million and $0.3 million, respectively. The amount of unrecognized tax benefits is not expected to significantly change over the next 12 months. If recognized, unrecognized tax benefits would not have an impact on the Company’s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21"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tax rate due to the Company’s full valuation allowance position. The beginning and ending unrecognized tax benefits amounts is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Change related to prior year provisions</w:t>
            </w:r>
          </w:p>
        </w:tc>
        <w:tc>
          <w:tcPr>
            <w:tcW w:w="1060" w:type="dxa"/>
            <w:vAlign w:val="bottom"/>
          </w:tcPr>
          <w:p>
            <w:pPr>
              <w:spacing w:after="0"/>
              <w:rPr>
                <w:sz w:val="19"/>
                <w:szCs w:val="19"/>
                <w:color w:val="auto"/>
              </w:rPr>
            </w:pPr>
          </w:p>
        </w:tc>
        <w:tc>
          <w:tcPr>
            <w:tcW w:w="500" w:type="dxa"/>
            <w:vAlign w:val="bottom"/>
          </w:tcPr>
          <w:p>
            <w:pPr>
              <w:ind w:left="180"/>
              <w:spacing w:after="0"/>
              <w:rPr>
                <w:sz w:val="20"/>
                <w:szCs w:val="20"/>
                <w:color w:val="auto"/>
              </w:rPr>
            </w:pPr>
            <w:r>
              <w:rPr>
                <w:rFonts w:ascii="Arial" w:cs="Arial" w:eastAsia="Arial" w:hAnsi="Arial"/>
                <w:sz w:val="18"/>
                <w:szCs w:val="18"/>
                <w:color w:val="auto"/>
                <w:w w:val="93"/>
              </w:rPr>
              <w:t>(80)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related to current year provisions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It is the Company’s policy to include any assessed penalties and interest expense related to income taxes as a component of other expense and interest expense, respectively, as necessary. Management determined that no accrual for interest and penalties was required as of December 31, 2020.</w:t>
      </w:r>
    </w:p>
    <w:p>
      <w:pPr>
        <w:spacing w:after="0" w:line="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For year ended December 31, 2020 and 2019, the Company did not record an income tax expense. The Company will continue to maintain a full valuation allowance against its deferred tax assets as the Company believes it is more likely than not that the related deferred tax asset will not be realized. As a result, the Company’s income tax expense will remain at nil as no items that are either estimated or discrete items would impact the tax expense for the period.</w:t>
      </w:r>
    </w:p>
    <w:p>
      <w:pPr>
        <w:spacing w:after="0" w:line="133"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On March 27, 2020, the Coronavirus Aid, Relief and Economic Security (CARES) Act was enacted and signed into law. U.S. GAAP requires recognition of the tax effects of new legislation during the reporting period that includes the enactment date. The CARES Act includes changes to the tax provisions that benefits business entities and makes certain technical corrections to the 2017 Tax Cuts and Jobs Act. The tax relief measures for businesses include a five-year net operating loss carryback, suspension of the annual deduction limitation of 80% of taxable income from net operating losses generated in a tax year beginning after December 31, 2017, changes to the deductibility of interest, acceleration of alternative minimum tax credit refunds, payroll tax relief, and a technical correction to allow accelerated deductions for qualified improvement property. The CARES Act also provides other non-tax benefits to assist those impacted by the COVID-19 pandemic. The Company evaluated the impact of the CARES Act and determined that its adoption did not have a material impact to the income tax provision for the year ended December 31, 2020.</w:t>
      </w:r>
    </w:p>
    <w:p>
      <w:pPr>
        <w:spacing w:after="0" w:line="11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All tax returns will remain open for examination by the federal and state taxing authorities for three and four years, respectively, from the date of utilization of any net operating loss carryforwards or research and development credits.</w:t>
      </w:r>
    </w:p>
    <w:p>
      <w:pPr>
        <w:spacing w:after="0" w:line="112"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On February 1, 2021, the Company completed the Follow-On Offering of 1,650,000 shares of its Class A common stock at a public offering price of $67.00 per share. The Company received net proceeds of $103.1 million after deducting offering costs, underwriting discounts, and commissions of</w:t>
      </w:r>
    </w:p>
    <w:p>
      <w:pPr>
        <w:jc w:val="both"/>
        <w:ind w:right="40"/>
        <w:spacing w:after="0" w:line="255" w:lineRule="auto"/>
        <w:rPr>
          <w:sz w:val="20"/>
          <w:szCs w:val="20"/>
          <w:color w:val="auto"/>
        </w:rPr>
      </w:pPr>
      <w:r>
        <w:rPr>
          <w:rFonts w:ascii="Arial" w:cs="Arial" w:eastAsia="Arial" w:hAnsi="Arial"/>
          <w:sz w:val="18"/>
          <w:szCs w:val="18"/>
          <w:color w:val="auto"/>
        </w:rPr>
        <w:t>$7.5 million. Existing stockholders of the Company sold 2,662,500 shares of Class A common stock in the Follow-On Offering including the underwriters’ option to purchase an additional 562,500 shares of Class A common stock at the public offering price. The Company did not receive any proceeds from the sale of shares by existing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21" w:right="339" w:bottom="1440" w:gutter="0" w:footer="0" w:header="0"/>
        </w:sectPr>
      </w:pPr>
    </w:p>
    <w:bookmarkStart w:id="125" w:name="page126"/>
    <w:bookmarkEnd w:id="125"/>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ectPr>
          <w:pgSz w:w="11900" w:h="16838" w:orient="portrait"/>
          <w:cols w:equalWidth="0" w:num="1">
            <w:col w:w="10139"/>
          </w:cols>
          <w:pgMar w:left="320" w:top="1440" w:right="1440" w:bottom="1440" w:gutter="0" w:footer="0" w:header="0"/>
        </w:sectPr>
      </w:pP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139"/>
          </w:cols>
          <w:pgMar w:left="320" w:top="1440" w:right="1440" w:bottom="1440" w:gutter="0" w:footer="0" w:header="0"/>
          <w:type w:val="continuous"/>
        </w:sectPr>
      </w:pPr>
    </w:p>
    <w:bookmarkStart w:id="126" w:name="page127"/>
    <w:bookmarkEnd w:id="126"/>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that our disclosure controls and procedures were not effective at a reasonable assurance level as of December 31, 2020 because of the material weakness in internal controls further discussed below. Notwithstanding the material weakness, our management, including our CEO and CFO, has concluded that our consolidated financial statements, included in the 2020 Annual Report on Form 10-K, fairly present, in all material respects, our financial condition, results of operations and cash flows for the periods presented in conformity with generally accepted accounting principles.</w:t>
      </w:r>
    </w:p>
    <w:p>
      <w:pPr>
        <w:spacing w:after="0" w:line="114"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a reasonable possibility exists that a material misstatement of our annual or interim financial statements would not be prevented or detected on a timely basis.</w:t>
      </w:r>
    </w:p>
    <w:p>
      <w:pPr>
        <w:spacing w:after="0" w:line="92"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Specifically, our management determined that, as of December 31, 2020, we have material weaknesses in each of the following components of the “Internal Control—Integrated Framework” (2013), issued by the Committee of Sponsoring Organizations of the Treadway Commission:</w:t>
      </w:r>
    </w:p>
    <w:p>
      <w:pPr>
        <w:spacing w:after="0" w:line="70" w:lineRule="exact"/>
        <w:rPr>
          <w:sz w:val="20"/>
          <w:szCs w:val="20"/>
          <w:color w:val="auto"/>
        </w:rPr>
      </w:pPr>
    </w:p>
    <w:p>
      <w:pPr>
        <w:ind w:left="340"/>
        <w:spacing w:after="0"/>
        <w:tabs>
          <w:tab w:leader="none" w:pos="640" w:val="left"/>
          <w:tab w:leader="none" w:pos="7640" w:val="left"/>
        </w:tabs>
        <w:rPr>
          <w:sz w:val="20"/>
          <w:szCs w:val="20"/>
          <w:color w:val="auto"/>
        </w:rPr>
      </w:pPr>
      <w:r>
        <w:rPr>
          <w:rFonts w:ascii="Arial" w:cs="Arial" w:eastAsia="Arial" w:hAnsi="Arial"/>
          <w:sz w:val="18"/>
          <w:szCs w:val="18"/>
          <w:color w:val="auto"/>
        </w:rPr>
        <w:t>•</w:t>
        <w:tab/>
        <w:t>insufficient accounting personnel to enable segregation of duties relating to the general ledger,</w:t>
      </w:r>
      <w:r>
        <w:rPr>
          <w:sz w:val="20"/>
          <w:szCs w:val="20"/>
          <w:color w:val="auto"/>
        </w:rPr>
        <w:tab/>
      </w:r>
      <w:r>
        <w:rPr>
          <w:rFonts w:ascii="Arial" w:cs="Arial" w:eastAsia="Arial" w:hAnsi="Arial"/>
          <w:sz w:val="16"/>
          <w:szCs w:val="16"/>
          <w:color w:val="auto"/>
        </w:rPr>
        <w:t>disbursement, and certain accounting functions;</w:t>
      </w:r>
    </w:p>
    <w:p>
      <w:pPr>
        <w:spacing w:after="0" w:line="171" w:lineRule="exact"/>
        <w:rPr>
          <w:sz w:val="20"/>
          <w:szCs w:val="20"/>
          <w:color w:val="auto"/>
        </w:rPr>
      </w:pPr>
    </w:p>
    <w:p>
      <w:pPr>
        <w:ind w:left="660" w:right="720" w:hanging="328"/>
        <w:spacing w:after="0" w:line="342" w:lineRule="auto"/>
        <w:tabs>
          <w:tab w:leader="none" w:pos="6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69" w:lineRule="exact"/>
        <w:rPr>
          <w:rFonts w:ascii="Arial" w:cs="Arial" w:eastAsia="Arial" w:hAnsi="Arial"/>
          <w:sz w:val="16"/>
          <w:szCs w:val="16"/>
          <w:color w:val="auto"/>
        </w:rPr>
      </w:pPr>
    </w:p>
    <w:p>
      <w:pPr>
        <w:ind w:left="660" w:right="6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11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These material weaknesses could result in a misstatement of account balances or disclosures that would result in a material misstatement of our annual or interim consolidated financial statements that may not be prevented or detected, and accordingly, it was determined that these control deficiencies constitute material weaknesses.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Remediation Plan</w:t>
      </w:r>
    </w:p>
    <w:p>
      <w:pPr>
        <w:spacing w:after="0" w:line="17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have begun to take certain actions to address the control deficiencies in our financial reporting, including hiring three finance department employees with appropriate expertise, including our Chief Financial Officer and our Controller, and retaining an accounting consulting firm to provide additional depth and breadth to our technical accounting and financial reporting capabilities. We have also begun to review and document our accounting and financial processes and internal controls, build out our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management and reporting systems infrastructure, and further develop and formalize our accounting policies and financial reporting procedures, which includes ongoing senior management review and establishing our audit committee oversight. In addition, our current plan includes engaging a consulting firm to assist in the design effectiveness and testing of our internal controls and the hiring of an additional four finance and accounting personnel during 2021 to assist in executing on these specific functions, of which we have hired two personnel as of January 31,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This Annual Report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management, including our CEO and CFO,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Except for the identification of the material weaknesses and the remediation plan described above, there were no changes in our internal control over financial reporting (as such term is defined in Rules 13a-15(f) under the Exchange Act) during the quarter ended December 31,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139"/>
          </w:cols>
          <w:pgMar w:left="320" w:top="1440" w:right="1440" w:bottom="1440" w:gutter="0" w:footer="0" w:header="0"/>
        </w:sectPr>
      </w:pPr>
    </w:p>
    <w:bookmarkStart w:id="129" w:name="page130"/>
    <w:bookmarkEnd w:id="129"/>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http://seer.bio.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a Current Report on Form 8-K. Information contained on the website is not incorporated by reference into this Annual Report.</w:t>
      </w:r>
    </w:p>
    <w:p>
      <w:pPr>
        <w:spacing w:after="0" w:line="138"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remaining information required under this item is incorporated herein by reference to our definitive proxy statement (the “Proxy Statement”) pursuant to Regulation 14A under the Securities Exchange Act of 1934, as amended, which Proxy Statement is expected to be filed with Securities and Exchange Commission not later than 120 days after the close of our fiscal year ended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60"/>
          </w:cols>
          <w:pgMar w:left="320" w:top="1440" w:right="419" w:bottom="1440" w:gutter="0" w:footer="0" w:header="0"/>
        </w:sectPr>
      </w:pPr>
    </w:p>
    <w:bookmarkStart w:id="130" w:name="page131"/>
    <w:bookmarkEnd w:id="130"/>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9019"/>
          </w:cols>
          <w:pgMar w:left="1440" w:top="1440" w:right="1440" w:bottom="1440" w:gutter="0" w:footer="0" w:header="0"/>
          <w:type w:val="continuous"/>
        </w:sectPr>
      </w:pPr>
    </w:p>
    <w:bookmarkStart w:id="131" w:name="page132"/>
    <w:bookmarkEnd w:id="13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171"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Financial Statements: The financial statements filed as part of this Annual Report are included in Part II, Item 8 of this Annual Report.</w:t>
      </w:r>
    </w:p>
    <w:p>
      <w:pPr>
        <w:spacing w:after="0" w:line="182" w:lineRule="exact"/>
        <w:rPr>
          <w:rFonts w:ascii="Arial" w:cs="Arial" w:eastAsia="Arial" w:hAnsi="Arial"/>
          <w:sz w:val="17"/>
          <w:szCs w:val="17"/>
          <w:color w:val="auto"/>
        </w:rPr>
      </w:pPr>
    </w:p>
    <w:p>
      <w:pPr>
        <w:ind w:left="660" w:right="380" w:hanging="328"/>
        <w:spacing w:after="0" w:line="34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Financial Statement Schedules: Financial statement schedules have been omitted in this Annual Report because they are not applicable, not required under the instructions or the information requested is set forth in the financial statements or related notes thereto.</w:t>
      </w:r>
    </w:p>
    <w:p>
      <w:pPr>
        <w:spacing w:after="0" w:line="69"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Exhibits: The list of exhibits filed with this Annual Report on Form 10-K is set forth in the Exhibit Index preceding the signature page and is incorporated herein by reference or filed with this Annual Report on Form 10-K, in each case as indicated therein (numbered in accordance with Item 601 of Regulation S-K).</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11"/>
          </w:tcPr>
          <w:p>
            <w:pPr>
              <w:ind w:left="100"/>
              <w:spacing w:after="0"/>
              <w:rPr>
                <w:sz w:val="20"/>
                <w:szCs w:val="20"/>
                <w:color w:val="auto"/>
              </w:rPr>
            </w:pPr>
            <w:r>
              <w:rPr>
                <w:rFonts w:ascii="Arial" w:cs="Arial" w:eastAsia="Arial" w:hAnsi="Arial"/>
                <w:sz w:val="14"/>
                <w:szCs w:val="14"/>
                <w:b w:val="1"/>
                <w:bCs w:val="1"/>
                <w:color w:val="auto"/>
              </w:rPr>
              <w:t>Description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800" w:type="dxa"/>
            <w:vAlign w:val="bottom"/>
          </w:tcPr>
          <w:p>
            <w:pPr>
              <w:ind w:left="680"/>
              <w:spacing w:after="0"/>
              <w:rPr>
                <w:sz w:val="20"/>
                <w:szCs w:val="20"/>
                <w:color w:val="auto"/>
              </w:rPr>
            </w:pPr>
            <w:r>
              <w:rPr>
                <w:rFonts w:ascii="Arial" w:cs="Arial" w:eastAsia="Arial" w:hAnsi="Arial"/>
                <w:sz w:val="14"/>
                <w:szCs w:val="14"/>
                <w:b w:val="1"/>
                <w:bCs w:val="1"/>
                <w:color w:val="auto"/>
              </w:rPr>
              <w:t>File No.</w:t>
            </w:r>
          </w:p>
        </w:tc>
        <w:tc>
          <w:tcPr>
            <w:tcW w:w="1400" w:type="dxa"/>
            <w:vAlign w:val="bottom"/>
          </w:tcPr>
          <w:p>
            <w:pPr>
              <w:ind w:left="460"/>
              <w:spacing w:after="0"/>
              <w:rPr>
                <w:sz w:val="20"/>
                <w:szCs w:val="20"/>
                <w:color w:val="auto"/>
              </w:rPr>
            </w:pPr>
            <w:r>
              <w:rPr>
                <w:rFonts w:ascii="Arial" w:cs="Arial" w:eastAsia="Arial" w:hAnsi="Arial"/>
                <w:sz w:val="14"/>
                <w:szCs w:val="14"/>
                <w:b w:val="1"/>
                <w:bCs w:val="1"/>
                <w:color w:val="auto"/>
              </w:rPr>
              <w:t>Exhibit</w:t>
            </w:r>
          </w:p>
        </w:tc>
        <w:tc>
          <w:tcPr>
            <w:tcW w:w="1240" w:type="dxa"/>
            <w:vAlign w:val="bottom"/>
          </w:tcPr>
          <w:p>
            <w:pPr>
              <w:ind w:left="520"/>
              <w:spacing w:after="0"/>
              <w:rPr>
                <w:sz w:val="20"/>
                <w:szCs w:val="20"/>
                <w:color w:val="auto"/>
              </w:rPr>
            </w:pPr>
            <w:r>
              <w:rPr>
                <w:rFonts w:ascii="Arial" w:cs="Arial" w:eastAsia="Arial" w:hAnsi="Arial"/>
                <w:sz w:val="14"/>
                <w:szCs w:val="14"/>
                <w:b w:val="1"/>
                <w:bCs w:val="1"/>
                <w:color w:val="auto"/>
                <w:w w:val="97"/>
              </w:rPr>
              <w:t>Filing Date</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20" w:type="dxa"/>
            <w:vAlign w:val="bottom"/>
            <w:vMerge w:val="restart"/>
          </w:tcPr>
          <w:p>
            <w:pPr>
              <w:jc w:val="center"/>
              <w:spacing w:after="0"/>
              <w:rPr>
                <w:sz w:val="20"/>
                <w:szCs w:val="20"/>
                <w:color w:val="auto"/>
              </w:rPr>
            </w:pPr>
            <w:r>
              <w:rPr>
                <w:rFonts w:ascii="Arial" w:cs="Arial" w:eastAsia="Arial" w:hAnsi="Arial"/>
                <w:sz w:val="17"/>
                <w:szCs w:val="17"/>
                <w:color w:val="auto"/>
                <w:w w:val="98"/>
              </w:rPr>
              <w:t>8-K</w:t>
            </w:r>
          </w:p>
        </w:tc>
        <w:tc>
          <w:tcPr>
            <w:tcW w:w="1800" w:type="dxa"/>
            <w:vAlign w:val="bottom"/>
            <w:vMerge w:val="restart"/>
          </w:tcPr>
          <w:p>
            <w:pPr>
              <w:jc w:val="center"/>
              <w:spacing w:after="0"/>
              <w:rPr>
                <w:sz w:val="20"/>
                <w:szCs w:val="20"/>
                <w:color w:val="auto"/>
              </w:rPr>
            </w:pPr>
            <w:r>
              <w:rPr>
                <w:rFonts w:ascii="Arial" w:cs="Arial" w:eastAsia="Arial" w:hAnsi="Arial"/>
                <w:sz w:val="17"/>
                <w:szCs w:val="17"/>
                <w:color w:val="auto"/>
                <w:w w:val="90"/>
              </w:rPr>
              <w:t>001-39747</w:t>
            </w:r>
          </w:p>
        </w:tc>
        <w:tc>
          <w:tcPr>
            <w:tcW w:w="1400" w:type="dxa"/>
            <w:vAlign w:val="bottom"/>
            <w:vMerge w:val="restart"/>
          </w:tcPr>
          <w:p>
            <w:pPr>
              <w:jc w:val="center"/>
              <w:spacing w:after="0"/>
              <w:rPr>
                <w:sz w:val="20"/>
                <w:szCs w:val="20"/>
                <w:color w:val="auto"/>
              </w:rPr>
            </w:pPr>
            <w:r>
              <w:rPr>
                <w:rFonts w:ascii="Arial" w:cs="Arial" w:eastAsia="Arial" w:hAnsi="Arial"/>
                <w:sz w:val="17"/>
                <w:szCs w:val="17"/>
                <w:color w:val="auto"/>
                <w:w w:val="92"/>
              </w:rPr>
              <w:t>3.1</w:t>
            </w:r>
          </w:p>
        </w:tc>
        <w:tc>
          <w:tcPr>
            <w:tcW w:w="1240" w:type="dxa"/>
            <w:vAlign w:val="bottom"/>
            <w:vMerge w:val="restart"/>
          </w:tcPr>
          <w:p>
            <w:pPr>
              <w:jc w:val="center"/>
              <w:ind w:left="376"/>
              <w:spacing w:after="0"/>
              <w:rPr>
                <w:sz w:val="20"/>
                <w:szCs w:val="20"/>
                <w:color w:val="auto"/>
              </w:rPr>
            </w:pPr>
            <w:r>
              <w:rPr>
                <w:rFonts w:ascii="Arial" w:cs="Arial" w:eastAsia="Arial" w:hAnsi="Arial"/>
                <w:sz w:val="17"/>
                <w:szCs w:val="17"/>
                <w:color w:val="auto"/>
                <w:w w:val="92"/>
              </w:rPr>
              <w:t>12/8/2020</w:t>
            </w:r>
          </w:p>
        </w:tc>
        <w:tc>
          <w:tcPr>
            <w:tcW w:w="0" w:type="dxa"/>
            <w:vAlign w:val="bottom"/>
          </w:tcPr>
          <w:p>
            <w:pPr>
              <w:spacing w:after="0"/>
              <w:rPr>
                <w:sz w:val="1"/>
                <w:szCs w:val="1"/>
                <w:color w:val="auto"/>
              </w:rPr>
            </w:pPr>
          </w:p>
        </w:tc>
      </w:tr>
      <w:tr>
        <w:trPr>
          <w:trHeight w:val="182"/>
        </w:trPr>
        <w:tc>
          <w:tcPr>
            <w:tcW w:w="980" w:type="dxa"/>
            <w:vAlign w:val="bottom"/>
          </w:tcPr>
          <w:p>
            <w:pPr>
              <w:jc w:val="center"/>
              <w:spacing w:after="0" w:line="183" w:lineRule="exact"/>
              <w:rPr>
                <w:sz w:val="20"/>
                <w:szCs w:val="20"/>
                <w:color w:val="auto"/>
              </w:rPr>
            </w:pPr>
            <w:r>
              <w:rPr>
                <w:rFonts w:ascii="Arial" w:cs="Arial" w:eastAsia="Arial" w:hAnsi="Arial"/>
                <w:sz w:val="17"/>
                <w:szCs w:val="17"/>
                <w:color w:val="auto"/>
                <w:w w:val="92"/>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17"/>
          </w:tcPr>
          <w:p>
            <w:pPr>
              <w:spacing w:after="0" w:line="183" w:lineRule="exact"/>
              <w:rPr>
                <w:rFonts w:ascii="Arial" w:cs="Arial" w:eastAsia="Arial" w:hAnsi="Arial"/>
                <w:sz w:val="17"/>
                <w:szCs w:val="17"/>
                <w:color w:val="0000FF"/>
                <w:w w:val="91"/>
              </w:rPr>
            </w:pPr>
            <w:hyperlink r:id="rId41">
              <w:r>
                <w:rPr>
                  <w:rFonts w:ascii="Arial" w:cs="Arial" w:eastAsia="Arial" w:hAnsi="Arial"/>
                  <w:sz w:val="17"/>
                  <w:szCs w:val="17"/>
                  <w:color w:val="0000FF"/>
                  <w:w w:val="91"/>
                </w:rPr>
                <w:t>Amended and Restated Certificate of Incorporation</w:t>
              </w:r>
            </w:hyperlink>
          </w:p>
        </w:tc>
        <w:tc>
          <w:tcPr>
            <w:tcW w:w="142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00" w:type="dxa"/>
            <w:vAlign w:val="bottom"/>
            <w:tcBorders>
              <w:top w:val="single" w:sz="8" w:color="0000FF"/>
            </w:tcBorders>
            <w:gridSpan w:val="16"/>
          </w:tcPr>
          <w:p>
            <w:pPr>
              <w:spacing w:after="0" w:line="183" w:lineRule="exact"/>
              <w:rPr>
                <w:rFonts w:ascii="Arial" w:cs="Arial" w:eastAsia="Arial" w:hAnsi="Arial"/>
                <w:sz w:val="17"/>
                <w:szCs w:val="17"/>
                <w:color w:val="0000FF"/>
              </w:rPr>
            </w:pPr>
            <w:hyperlink r:id="rId41">
              <w:r>
                <w:rPr>
                  <w:rFonts w:ascii="Arial" w:cs="Arial" w:eastAsia="Arial" w:hAnsi="Arial"/>
                  <w:sz w:val="17"/>
                  <w:szCs w:val="17"/>
                  <w:color w:val="0000FF"/>
                </w:rPr>
                <w:t>of the Registrant</w:t>
              </w:r>
              <w:r>
                <w:rPr>
                  <w:rFonts w:ascii="Arial" w:cs="Arial" w:eastAsia="Arial" w:hAnsi="Arial"/>
                  <w:sz w:val="17"/>
                  <w:szCs w:val="17"/>
                  <w:color w:val="000000"/>
                </w:rPr>
                <w:t>.</w:t>
              </w:r>
            </w:hyperlink>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8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tcBorders>
              <w:bottom w:val="single" w:sz="8" w:color="0000FF"/>
            </w:tcBorders>
            <w:gridSpan w:val="14"/>
          </w:tcPr>
          <w:p>
            <w:pPr>
              <w:spacing w:after="0"/>
              <w:rPr>
                <w:rFonts w:ascii="Arial" w:cs="Arial" w:eastAsia="Arial" w:hAnsi="Arial"/>
                <w:sz w:val="17"/>
                <w:szCs w:val="17"/>
                <w:color w:val="0000FF"/>
                <w:w w:val="90"/>
              </w:rPr>
            </w:pPr>
            <w:hyperlink r:id="rId42">
              <w:r>
                <w:rPr>
                  <w:rFonts w:ascii="Arial" w:cs="Arial" w:eastAsia="Arial" w:hAnsi="Arial"/>
                  <w:sz w:val="17"/>
                  <w:szCs w:val="17"/>
                  <w:color w:val="0000FF"/>
                  <w:w w:val="90"/>
                </w:rPr>
                <w:t>Amended and Restated Bylaws of the Registrant.</w:t>
              </w:r>
            </w:hyperlink>
          </w:p>
        </w:tc>
        <w:tc>
          <w:tcPr>
            <w:tcW w:w="160" w:type="dxa"/>
            <w:vAlign w:val="bottom"/>
            <w:gridSpan w:val="3"/>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8"/>
              </w:rPr>
              <w:t>8-K</w:t>
            </w:r>
          </w:p>
        </w:tc>
        <w:tc>
          <w:tcPr>
            <w:tcW w:w="1800" w:type="dxa"/>
            <w:vAlign w:val="bottom"/>
          </w:tcPr>
          <w:p>
            <w:pPr>
              <w:jc w:val="center"/>
              <w:spacing w:after="0"/>
              <w:rPr>
                <w:sz w:val="20"/>
                <w:szCs w:val="20"/>
                <w:color w:val="auto"/>
              </w:rPr>
            </w:pPr>
            <w:r>
              <w:rPr>
                <w:rFonts w:ascii="Arial" w:cs="Arial" w:eastAsia="Arial" w:hAnsi="Arial"/>
                <w:sz w:val="17"/>
                <w:szCs w:val="17"/>
                <w:color w:val="auto"/>
                <w:w w:val="90"/>
              </w:rPr>
              <w:t>001-39747</w:t>
            </w:r>
          </w:p>
        </w:tc>
        <w:tc>
          <w:tcPr>
            <w:tcW w:w="140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1240" w:type="dxa"/>
            <w:vAlign w:val="bottom"/>
          </w:tcPr>
          <w:p>
            <w:pPr>
              <w:jc w:val="center"/>
              <w:ind w:left="376"/>
              <w:spacing w:after="0"/>
              <w:rPr>
                <w:sz w:val="20"/>
                <w:szCs w:val="20"/>
                <w:color w:val="auto"/>
              </w:rPr>
            </w:pPr>
            <w:r>
              <w:rPr>
                <w:rFonts w:ascii="Arial" w:cs="Arial" w:eastAsia="Arial" w:hAnsi="Arial"/>
                <w:sz w:val="17"/>
                <w:szCs w:val="17"/>
                <w:color w:val="auto"/>
                <w:w w:val="92"/>
              </w:rPr>
              <w:t>12/8/2020</w:t>
            </w:r>
          </w:p>
        </w:tc>
        <w:tc>
          <w:tcPr>
            <w:tcW w:w="0" w:type="dxa"/>
            <w:vAlign w:val="bottom"/>
          </w:tcPr>
          <w:p>
            <w:pPr>
              <w:spacing w:after="0"/>
              <w:rPr>
                <w:sz w:val="1"/>
                <w:szCs w:val="1"/>
                <w:color w:val="auto"/>
              </w:rPr>
            </w:pPr>
          </w:p>
        </w:tc>
      </w:tr>
      <w:tr>
        <w:trPr>
          <w:trHeight w:val="453"/>
        </w:trPr>
        <w:tc>
          <w:tcPr>
            <w:tcW w:w="98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gridSpan w:val="17"/>
          </w:tcPr>
          <w:p>
            <w:pPr>
              <w:spacing w:after="0"/>
              <w:rPr>
                <w:rFonts w:ascii="Arial" w:cs="Arial" w:eastAsia="Arial" w:hAnsi="Arial"/>
                <w:sz w:val="17"/>
                <w:szCs w:val="17"/>
                <w:color w:val="0000FF"/>
              </w:rPr>
            </w:pPr>
            <w:hyperlink r:id="rId43">
              <w:r>
                <w:rPr>
                  <w:rFonts w:ascii="Arial" w:cs="Arial" w:eastAsia="Arial" w:hAnsi="Arial"/>
                  <w:sz w:val="17"/>
                  <w:szCs w:val="17"/>
                  <w:color w:val="0000FF"/>
                </w:rPr>
                <w:t>Form of common stock certificate of the</w:t>
              </w:r>
            </w:hyperlink>
          </w:p>
        </w:tc>
        <w:tc>
          <w:tcPr>
            <w:tcW w:w="142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800" w:type="dxa"/>
            <w:vAlign w:val="bottom"/>
          </w:tcPr>
          <w:p>
            <w:pPr>
              <w:jc w:val="center"/>
              <w:spacing w:after="0"/>
              <w:rPr>
                <w:sz w:val="20"/>
                <w:szCs w:val="20"/>
                <w:color w:val="auto"/>
              </w:rPr>
            </w:pPr>
            <w:r>
              <w:rPr>
                <w:rFonts w:ascii="Arial" w:cs="Arial" w:eastAsia="Arial" w:hAnsi="Arial"/>
                <w:sz w:val="17"/>
                <w:szCs w:val="17"/>
                <w:color w:val="auto"/>
                <w:w w:val="92"/>
              </w:rPr>
              <w:t>333-250035</w:t>
            </w:r>
          </w:p>
        </w:tc>
        <w:tc>
          <w:tcPr>
            <w:tcW w:w="140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240" w:type="dxa"/>
            <w:vAlign w:val="bottom"/>
          </w:tcPr>
          <w:p>
            <w:pPr>
              <w:jc w:val="center"/>
              <w:ind w:left="376"/>
              <w:spacing w:after="0"/>
              <w:rPr>
                <w:sz w:val="20"/>
                <w:szCs w:val="20"/>
                <w:color w:val="auto"/>
              </w:rPr>
            </w:pPr>
            <w:r>
              <w:rPr>
                <w:rFonts w:ascii="Arial" w:cs="Arial" w:eastAsia="Arial" w:hAnsi="Arial"/>
                <w:sz w:val="17"/>
                <w:szCs w:val="17"/>
                <w:color w:val="auto"/>
                <w:w w:val="91"/>
              </w:rPr>
              <w:t>11/12/2020</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tcBorders>
              <w:top w:val="single" w:sz="8" w:color="0000FF"/>
            </w:tcBorders>
            <w:gridSpan w:val="7"/>
          </w:tcPr>
          <w:p>
            <w:pPr>
              <w:spacing w:after="0" w:line="183" w:lineRule="exact"/>
              <w:rPr>
                <w:rFonts w:ascii="Arial" w:cs="Arial" w:eastAsia="Arial" w:hAnsi="Arial"/>
                <w:sz w:val="17"/>
                <w:szCs w:val="17"/>
                <w:color w:val="0000FF"/>
              </w:rPr>
            </w:pPr>
            <w:hyperlink r:id="rId43">
              <w:r>
                <w:rPr>
                  <w:rFonts w:ascii="Arial" w:cs="Arial" w:eastAsia="Arial" w:hAnsi="Arial"/>
                  <w:sz w:val="17"/>
                  <w:szCs w:val="17"/>
                  <w:color w:val="0000FF"/>
                </w:rPr>
                <w:t>Registrant.</w:t>
              </w:r>
            </w:hyperlink>
          </w:p>
        </w:tc>
        <w:tc>
          <w:tcPr>
            <w:tcW w:w="780" w:type="dxa"/>
            <w:vAlign w:val="bottom"/>
            <w:gridSpan w:val="10"/>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Borders>
              <w:bottom w:val="single" w:sz="8" w:color="0000FF"/>
            </w:tcBorders>
            <w:gridSpan w:val="8"/>
          </w:tcPr>
          <w:p>
            <w:pPr>
              <w:spacing w:after="0"/>
              <w:rPr>
                <w:rFonts w:ascii="Arial" w:cs="Arial" w:eastAsia="Arial" w:hAnsi="Arial"/>
                <w:sz w:val="17"/>
                <w:szCs w:val="17"/>
                <w:color w:val="0000FF"/>
                <w:w w:val="89"/>
              </w:rPr>
            </w:pPr>
            <w:hyperlink r:id="rId44">
              <w:r>
                <w:rPr>
                  <w:rFonts w:ascii="Arial" w:cs="Arial" w:eastAsia="Arial" w:hAnsi="Arial"/>
                  <w:sz w:val="17"/>
                  <w:szCs w:val="17"/>
                  <w:color w:val="0000FF"/>
                  <w:w w:val="89"/>
                </w:rPr>
                <w:t>Amended and Restated Investors’ Rights</w:t>
              </w:r>
            </w:hyperlink>
          </w:p>
        </w:tc>
        <w:tc>
          <w:tcPr>
            <w:tcW w:w="740" w:type="dxa"/>
            <w:vAlign w:val="bottom"/>
            <w:gridSpan w:val="9"/>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800" w:type="dxa"/>
            <w:vAlign w:val="bottom"/>
          </w:tcPr>
          <w:p>
            <w:pPr>
              <w:jc w:val="center"/>
              <w:spacing w:after="0"/>
              <w:rPr>
                <w:sz w:val="20"/>
                <w:szCs w:val="20"/>
                <w:color w:val="auto"/>
              </w:rPr>
            </w:pPr>
            <w:r>
              <w:rPr>
                <w:rFonts w:ascii="Arial" w:cs="Arial" w:eastAsia="Arial" w:hAnsi="Arial"/>
                <w:sz w:val="17"/>
                <w:szCs w:val="17"/>
                <w:color w:val="auto"/>
                <w:w w:val="92"/>
              </w:rPr>
              <w:t>333-252395</w:t>
            </w:r>
          </w:p>
        </w:tc>
        <w:tc>
          <w:tcPr>
            <w:tcW w:w="140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1240" w:type="dxa"/>
            <w:vAlign w:val="bottom"/>
          </w:tcPr>
          <w:p>
            <w:pPr>
              <w:jc w:val="center"/>
              <w:ind w:left="376"/>
              <w:spacing w:after="0"/>
              <w:rPr>
                <w:sz w:val="20"/>
                <w:szCs w:val="20"/>
                <w:color w:val="auto"/>
              </w:rPr>
            </w:pPr>
            <w:r>
              <w:rPr>
                <w:rFonts w:ascii="Arial" w:cs="Arial" w:eastAsia="Arial" w:hAnsi="Arial"/>
                <w:sz w:val="17"/>
                <w:szCs w:val="17"/>
                <w:color w:val="auto"/>
                <w:w w:val="92"/>
              </w:rPr>
              <w:t>1/25/2021</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00" w:type="dxa"/>
            <w:vAlign w:val="bottom"/>
            <w:tcBorders>
              <w:bottom w:val="single" w:sz="8" w:color="0000FF"/>
            </w:tcBorders>
            <w:gridSpan w:val="11"/>
          </w:tcPr>
          <w:p>
            <w:pPr>
              <w:spacing w:after="0" w:line="183" w:lineRule="exact"/>
              <w:rPr>
                <w:rFonts w:ascii="Arial" w:cs="Arial" w:eastAsia="Arial" w:hAnsi="Arial"/>
                <w:sz w:val="17"/>
                <w:szCs w:val="17"/>
                <w:color w:val="0000FF"/>
                <w:w w:val="89"/>
              </w:rPr>
            </w:pPr>
            <w:hyperlink r:id="rId44">
              <w:r>
                <w:rPr>
                  <w:rFonts w:ascii="Arial" w:cs="Arial" w:eastAsia="Arial" w:hAnsi="Arial"/>
                  <w:sz w:val="17"/>
                  <w:szCs w:val="17"/>
                  <w:color w:val="0000FF"/>
                  <w:w w:val="89"/>
                </w:rPr>
                <w:t>Agreement, by and among the Registrant and</w:t>
              </w:r>
            </w:hyperlink>
          </w:p>
        </w:tc>
        <w:tc>
          <w:tcPr>
            <w:tcW w:w="440" w:type="dxa"/>
            <w:vAlign w:val="bottom"/>
            <w:gridSpan w:val="6"/>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17"/>
          </w:tcPr>
          <w:p>
            <w:pPr>
              <w:spacing w:after="0" w:line="183" w:lineRule="exact"/>
              <w:rPr>
                <w:rFonts w:ascii="Arial" w:cs="Arial" w:eastAsia="Arial" w:hAnsi="Arial"/>
                <w:sz w:val="17"/>
                <w:szCs w:val="17"/>
                <w:color w:val="0000FF"/>
              </w:rPr>
            </w:pPr>
            <w:hyperlink r:id="rId44">
              <w:r>
                <w:rPr>
                  <w:rFonts w:ascii="Arial" w:cs="Arial" w:eastAsia="Arial" w:hAnsi="Arial"/>
                  <w:sz w:val="17"/>
                  <w:szCs w:val="17"/>
                  <w:color w:val="0000FF"/>
                </w:rPr>
                <w:t>certain holders of its capital stock, dated as of</w:t>
              </w:r>
            </w:hyperlink>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top w:val="single" w:sz="8" w:color="0000FF"/>
              <w:bottom w:val="single" w:sz="8" w:color="0000FF"/>
            </w:tcBorders>
            <w:gridSpan w:val="6"/>
          </w:tcPr>
          <w:p>
            <w:pPr>
              <w:spacing w:after="0" w:line="183" w:lineRule="exact"/>
              <w:rPr>
                <w:rFonts w:ascii="Arial" w:cs="Arial" w:eastAsia="Arial" w:hAnsi="Arial"/>
                <w:sz w:val="17"/>
                <w:szCs w:val="17"/>
                <w:color w:val="0000FF"/>
                <w:w w:val="88"/>
              </w:rPr>
            </w:pPr>
            <w:hyperlink r:id="rId44">
              <w:r>
                <w:rPr>
                  <w:rFonts w:ascii="Arial" w:cs="Arial" w:eastAsia="Arial" w:hAnsi="Arial"/>
                  <w:sz w:val="17"/>
                  <w:szCs w:val="17"/>
                  <w:color w:val="0000FF"/>
                  <w:w w:val="88"/>
                </w:rPr>
                <w:t>December 9, 2020.</w:t>
              </w:r>
            </w:hyperlink>
          </w:p>
        </w:tc>
        <w:tc>
          <w:tcPr>
            <w:tcW w:w="1820" w:type="dxa"/>
            <w:vAlign w:val="bottom"/>
            <w:tcBorders>
              <w:top w:val="single" w:sz="8" w:color="0000FF"/>
            </w:tcBorders>
            <w:gridSpan w:val="6"/>
          </w:tcPr>
          <w:p>
            <w:pPr>
              <w:spacing w:after="0"/>
              <w:rPr>
                <w:sz w:val="15"/>
                <w:szCs w:val="15"/>
                <w:color w:val="auto"/>
              </w:rPr>
            </w:pPr>
          </w:p>
        </w:tc>
        <w:tc>
          <w:tcPr>
            <w:tcW w:w="420" w:type="dxa"/>
            <w:vAlign w:val="bottom"/>
            <w:gridSpan w:val="5"/>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980" w:type="dxa"/>
            <w:vAlign w:val="bottom"/>
          </w:tcPr>
          <w:p>
            <w:pPr>
              <w:jc w:val="center"/>
              <w:spacing w:after="0"/>
              <w:rPr>
                <w:sz w:val="20"/>
                <w:szCs w:val="20"/>
                <w:color w:val="auto"/>
              </w:rPr>
            </w:pPr>
            <w:r>
              <w:rPr>
                <w:rFonts w:ascii="Arial" w:cs="Arial" w:eastAsia="Arial" w:hAnsi="Arial"/>
                <w:sz w:val="17"/>
                <w:szCs w:val="17"/>
                <w:color w:val="auto"/>
                <w:w w:val="92"/>
              </w:rPr>
              <w:t>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gridSpan w:val="17"/>
          </w:tcPr>
          <w:p>
            <w:pPr>
              <w:spacing w:after="0"/>
              <w:rPr>
                <w:rFonts w:ascii="Arial" w:cs="Arial" w:eastAsia="Arial" w:hAnsi="Arial"/>
                <w:sz w:val="17"/>
                <w:szCs w:val="17"/>
                <w:color w:val="0000FF"/>
                <w:w w:val="91"/>
              </w:rPr>
            </w:pPr>
            <w:hyperlink w:anchor="page138">
              <w:r>
                <w:rPr>
                  <w:rFonts w:ascii="Arial" w:cs="Arial" w:eastAsia="Arial" w:hAnsi="Arial"/>
                  <w:sz w:val="17"/>
                  <w:szCs w:val="17"/>
                  <w:color w:val="0000FF"/>
                  <w:w w:val="91"/>
                </w:rPr>
                <w:t>Description of the Registrant’s securities registered</w:t>
              </w:r>
            </w:hyperlink>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jc w:val="center"/>
              <w:ind w:left="37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00" w:type="dxa"/>
            <w:vAlign w:val="bottom"/>
            <w:tcBorders>
              <w:top w:val="single" w:sz="8" w:color="0000FF"/>
            </w:tcBorders>
            <w:gridSpan w:val="16"/>
          </w:tcPr>
          <w:p>
            <w:pPr>
              <w:spacing w:after="0" w:line="183" w:lineRule="exact"/>
              <w:rPr>
                <w:rFonts w:ascii="Arial" w:cs="Arial" w:eastAsia="Arial" w:hAnsi="Arial"/>
                <w:sz w:val="17"/>
                <w:szCs w:val="17"/>
                <w:color w:val="0000FF"/>
                <w:w w:val="92"/>
              </w:rPr>
            </w:pPr>
            <w:hyperlink w:anchor="page138">
              <w:r>
                <w:rPr>
                  <w:rFonts w:ascii="Arial" w:cs="Arial" w:eastAsia="Arial" w:hAnsi="Arial"/>
                  <w:sz w:val="17"/>
                  <w:szCs w:val="17"/>
                  <w:color w:val="0000FF"/>
                  <w:w w:val="92"/>
                </w:rPr>
                <w:t>pursuant to Section 12 of the Securities Exchange</w:t>
              </w:r>
            </w:hyperlink>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0000FF"/>
              <w:bottom w:val="single" w:sz="8" w:color="0000FF"/>
            </w:tcBorders>
            <w:gridSpan w:val="4"/>
          </w:tcPr>
          <w:p>
            <w:pPr>
              <w:spacing w:after="0" w:line="183" w:lineRule="exact"/>
              <w:rPr>
                <w:rFonts w:ascii="Arial" w:cs="Arial" w:eastAsia="Arial" w:hAnsi="Arial"/>
                <w:sz w:val="17"/>
                <w:szCs w:val="17"/>
                <w:color w:val="0000FF"/>
                <w:w w:val="92"/>
              </w:rPr>
            </w:pPr>
            <w:hyperlink w:anchor="page138">
              <w:r>
                <w:rPr>
                  <w:rFonts w:ascii="Arial" w:cs="Arial" w:eastAsia="Arial" w:hAnsi="Arial"/>
                  <w:sz w:val="17"/>
                  <w:szCs w:val="17"/>
                  <w:color w:val="0000FF"/>
                  <w:w w:val="92"/>
                </w:rPr>
                <w:t>Act of 1934.</w:t>
              </w:r>
            </w:hyperlink>
          </w:p>
        </w:tc>
        <w:tc>
          <w:tcPr>
            <w:tcW w:w="2540" w:type="dxa"/>
            <w:vAlign w:val="bottom"/>
            <w:tcBorders>
              <w:top w:val="single" w:sz="8" w:color="0000FF"/>
            </w:tcBorders>
            <w:gridSpan w:val="11"/>
          </w:tcPr>
          <w:p>
            <w:pPr>
              <w:spacing w:after="0"/>
              <w:rPr>
                <w:sz w:val="15"/>
                <w:szCs w:val="15"/>
                <w:color w:val="auto"/>
              </w:rPr>
            </w:pPr>
          </w:p>
        </w:tc>
        <w:tc>
          <w:tcPr>
            <w:tcW w:w="140" w:type="dxa"/>
            <w:vAlign w:val="bottom"/>
            <w:gridSpan w:val="2"/>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980" w:type="dxa"/>
            <w:vAlign w:val="bottom"/>
          </w:tcPr>
          <w:p>
            <w:pPr>
              <w:jc w:val="center"/>
              <w:spacing w:after="0"/>
              <w:rPr>
                <w:sz w:val="20"/>
                <w:szCs w:val="20"/>
                <w:color w:val="auto"/>
              </w:rPr>
            </w:pPr>
            <w:r>
              <w:rPr>
                <w:rFonts w:ascii="Arial" w:cs="Arial" w:eastAsia="Arial" w:hAnsi="Arial"/>
                <w:sz w:val="17"/>
                <w:szCs w:val="17"/>
                <w:color w:val="auto"/>
                <w:w w:val="92"/>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Borders>
              <w:bottom w:val="single" w:sz="8" w:color="0000FF"/>
            </w:tcBorders>
            <w:gridSpan w:val="13"/>
          </w:tcPr>
          <w:p>
            <w:pPr>
              <w:spacing w:after="0"/>
              <w:rPr>
                <w:rFonts w:ascii="Arial" w:cs="Arial" w:eastAsia="Arial" w:hAnsi="Arial"/>
                <w:sz w:val="17"/>
                <w:szCs w:val="17"/>
                <w:color w:val="0000FF"/>
                <w:w w:val="92"/>
              </w:rPr>
            </w:pPr>
            <w:hyperlink r:id="rId45">
              <w:r>
                <w:rPr>
                  <w:rFonts w:ascii="Arial" w:cs="Arial" w:eastAsia="Arial" w:hAnsi="Arial"/>
                  <w:sz w:val="17"/>
                  <w:szCs w:val="17"/>
                  <w:color w:val="0000FF"/>
                  <w:w w:val="92"/>
                </w:rPr>
                <w:t>Form of Indemnification Agreement between the</w:t>
              </w:r>
            </w:hyperlink>
          </w:p>
        </w:tc>
        <w:tc>
          <w:tcPr>
            <w:tcW w:w="180" w:type="dxa"/>
            <w:vAlign w:val="bottom"/>
            <w:gridSpan w:val="4"/>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800" w:type="dxa"/>
            <w:vAlign w:val="bottom"/>
          </w:tcPr>
          <w:p>
            <w:pPr>
              <w:jc w:val="center"/>
              <w:spacing w:after="0"/>
              <w:rPr>
                <w:sz w:val="20"/>
                <w:szCs w:val="20"/>
                <w:color w:val="auto"/>
              </w:rPr>
            </w:pPr>
            <w:r>
              <w:rPr>
                <w:rFonts w:ascii="Arial" w:cs="Arial" w:eastAsia="Arial" w:hAnsi="Arial"/>
                <w:sz w:val="17"/>
                <w:szCs w:val="17"/>
                <w:color w:val="auto"/>
                <w:w w:val="92"/>
              </w:rPr>
              <w:t>333-250035</w:t>
            </w:r>
          </w:p>
        </w:tc>
        <w:tc>
          <w:tcPr>
            <w:tcW w:w="140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240" w:type="dxa"/>
            <w:vAlign w:val="bottom"/>
          </w:tcPr>
          <w:p>
            <w:pPr>
              <w:jc w:val="center"/>
              <w:ind w:left="376"/>
              <w:spacing w:after="0"/>
              <w:rPr>
                <w:sz w:val="20"/>
                <w:szCs w:val="20"/>
                <w:color w:val="auto"/>
              </w:rPr>
            </w:pPr>
            <w:r>
              <w:rPr>
                <w:rFonts w:ascii="Arial" w:cs="Arial" w:eastAsia="Arial" w:hAnsi="Arial"/>
                <w:sz w:val="17"/>
                <w:szCs w:val="17"/>
                <w:color w:val="auto"/>
                <w:w w:val="91"/>
              </w:rPr>
              <w:t>11/12/2020</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17"/>
          </w:tcPr>
          <w:p>
            <w:pPr>
              <w:spacing w:after="0" w:line="183" w:lineRule="exact"/>
              <w:rPr>
                <w:rFonts w:ascii="Arial" w:cs="Arial" w:eastAsia="Arial" w:hAnsi="Arial"/>
                <w:sz w:val="17"/>
                <w:szCs w:val="17"/>
                <w:color w:val="0000FF"/>
                <w:w w:val="94"/>
              </w:rPr>
            </w:pPr>
            <w:hyperlink r:id="rId45">
              <w:r>
                <w:rPr>
                  <w:rFonts w:ascii="Arial" w:cs="Arial" w:eastAsia="Arial" w:hAnsi="Arial"/>
                  <w:sz w:val="17"/>
                  <w:szCs w:val="17"/>
                  <w:color w:val="0000FF"/>
                  <w:w w:val="94"/>
                </w:rPr>
                <w:t>Registrant and each of its directors and executive</w:t>
              </w:r>
            </w:hyperlink>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tcBorders>
              <w:top w:val="single" w:sz="8" w:color="0000FF"/>
            </w:tcBorders>
            <w:gridSpan w:val="13"/>
          </w:tcPr>
          <w:p>
            <w:pPr>
              <w:spacing w:after="0" w:line="183" w:lineRule="exact"/>
              <w:rPr>
                <w:rFonts w:ascii="Arial" w:cs="Arial" w:eastAsia="Arial" w:hAnsi="Arial"/>
                <w:sz w:val="17"/>
                <w:szCs w:val="17"/>
                <w:color w:val="0000FF"/>
              </w:rPr>
            </w:pPr>
            <w:hyperlink r:id="rId45">
              <w:r>
                <w:rPr>
                  <w:rFonts w:ascii="Arial" w:cs="Arial" w:eastAsia="Arial" w:hAnsi="Arial"/>
                  <w:sz w:val="17"/>
                  <w:szCs w:val="17"/>
                  <w:color w:val="0000FF"/>
                </w:rPr>
                <w:t>officers.</w:t>
              </w:r>
            </w:hyperlink>
          </w:p>
        </w:tc>
        <w:tc>
          <w:tcPr>
            <w:tcW w:w="180" w:type="dxa"/>
            <w:vAlign w:val="bottom"/>
            <w:gridSpan w:val="4"/>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tcPr>
          <w:p>
            <w:pPr>
              <w:jc w:val="center"/>
              <w:spacing w:after="0"/>
              <w:rPr>
                <w:sz w:val="20"/>
                <w:szCs w:val="20"/>
                <w:color w:val="auto"/>
              </w:rPr>
            </w:pPr>
            <w:r>
              <w:rPr>
                <w:rFonts w:ascii="Arial" w:cs="Arial" w:eastAsia="Arial" w:hAnsi="Arial"/>
                <w:sz w:val="17"/>
                <w:szCs w:val="17"/>
                <w:color w:val="auto"/>
                <w:w w:val="92"/>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tcBorders>
              <w:bottom w:val="single" w:sz="8" w:color="0000FF"/>
            </w:tcBorders>
            <w:gridSpan w:val="10"/>
          </w:tcPr>
          <w:p>
            <w:pPr>
              <w:spacing w:after="0"/>
              <w:rPr>
                <w:rFonts w:ascii="Arial" w:cs="Arial" w:eastAsia="Arial" w:hAnsi="Arial"/>
                <w:sz w:val="17"/>
                <w:szCs w:val="17"/>
                <w:color w:val="0000FF"/>
                <w:w w:val="91"/>
              </w:rPr>
            </w:pPr>
            <w:hyperlink r:id="rId46">
              <w:r>
                <w:rPr>
                  <w:rFonts w:ascii="Arial" w:cs="Arial" w:eastAsia="Arial" w:hAnsi="Arial"/>
                  <w:sz w:val="17"/>
                  <w:szCs w:val="17"/>
                  <w:color w:val="0000FF"/>
                  <w:w w:val="91"/>
                </w:rPr>
                <w:t>2020 Equity Incentive Plan and related form</w:t>
              </w:r>
            </w:hyperlink>
          </w:p>
        </w:tc>
        <w:tc>
          <w:tcPr>
            <w:tcW w:w="500" w:type="dxa"/>
            <w:vAlign w:val="bottom"/>
            <w:gridSpan w:val="7"/>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8"/>
              </w:rPr>
              <w:t>S-1/A</w:t>
            </w:r>
          </w:p>
        </w:tc>
        <w:tc>
          <w:tcPr>
            <w:tcW w:w="1800" w:type="dxa"/>
            <w:vAlign w:val="bottom"/>
          </w:tcPr>
          <w:p>
            <w:pPr>
              <w:jc w:val="center"/>
              <w:spacing w:after="0"/>
              <w:rPr>
                <w:sz w:val="20"/>
                <w:szCs w:val="20"/>
                <w:color w:val="auto"/>
              </w:rPr>
            </w:pPr>
            <w:r>
              <w:rPr>
                <w:rFonts w:ascii="Arial" w:cs="Arial" w:eastAsia="Arial" w:hAnsi="Arial"/>
                <w:sz w:val="17"/>
                <w:szCs w:val="17"/>
                <w:color w:val="auto"/>
                <w:w w:val="92"/>
              </w:rPr>
              <w:t>333-250035</w:t>
            </w:r>
          </w:p>
        </w:tc>
        <w:tc>
          <w:tcPr>
            <w:tcW w:w="140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1240" w:type="dxa"/>
            <w:vAlign w:val="bottom"/>
          </w:tcPr>
          <w:p>
            <w:pPr>
              <w:jc w:val="center"/>
              <w:ind w:left="376"/>
              <w:spacing w:after="0"/>
              <w:rPr>
                <w:sz w:val="20"/>
                <w:szCs w:val="20"/>
                <w:color w:val="auto"/>
              </w:rPr>
            </w:pPr>
            <w:r>
              <w:rPr>
                <w:rFonts w:ascii="Arial" w:cs="Arial" w:eastAsia="Arial" w:hAnsi="Arial"/>
                <w:sz w:val="17"/>
                <w:szCs w:val="17"/>
                <w:color w:val="auto"/>
                <w:w w:val="91"/>
              </w:rPr>
              <w:t>11/30/2020</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0000FF"/>
            </w:tcBorders>
            <w:gridSpan w:val="3"/>
          </w:tcPr>
          <w:p>
            <w:pPr>
              <w:spacing w:after="0" w:line="183" w:lineRule="exact"/>
              <w:rPr>
                <w:rFonts w:ascii="Arial" w:cs="Arial" w:eastAsia="Arial" w:hAnsi="Arial"/>
                <w:sz w:val="17"/>
                <w:szCs w:val="17"/>
                <w:color w:val="0000FF"/>
                <w:w w:val="84"/>
              </w:rPr>
            </w:pPr>
            <w:hyperlink r:id="rId46">
              <w:r>
                <w:rPr>
                  <w:rFonts w:ascii="Arial" w:cs="Arial" w:eastAsia="Arial" w:hAnsi="Arial"/>
                  <w:sz w:val="17"/>
                  <w:szCs w:val="17"/>
                  <w:color w:val="0000FF"/>
                  <w:w w:val="84"/>
                </w:rPr>
                <w:t>agreements.</w:t>
              </w:r>
            </w:hyperlink>
          </w:p>
        </w:tc>
        <w:tc>
          <w:tcPr>
            <w:tcW w:w="2720" w:type="dxa"/>
            <w:vAlign w:val="bottom"/>
            <w:gridSpan w:val="14"/>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980" w:type="dxa"/>
            <w:vAlign w:val="bottom"/>
          </w:tcPr>
          <w:p>
            <w:pPr>
              <w:jc w:val="center"/>
              <w:spacing w:after="0"/>
              <w:rPr>
                <w:sz w:val="20"/>
                <w:szCs w:val="20"/>
                <w:color w:val="auto"/>
              </w:rPr>
            </w:pPr>
            <w:r>
              <w:rPr>
                <w:rFonts w:ascii="Arial" w:cs="Arial" w:eastAsia="Arial" w:hAnsi="Arial"/>
                <w:sz w:val="17"/>
                <w:szCs w:val="17"/>
                <w:color w:val="auto"/>
                <w:w w:val="92"/>
              </w:rPr>
              <w:t>10.3+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gridSpan w:val="17"/>
          </w:tcPr>
          <w:p>
            <w:pPr>
              <w:spacing w:after="0"/>
              <w:rPr>
                <w:rFonts w:ascii="Arial" w:cs="Arial" w:eastAsia="Arial" w:hAnsi="Arial"/>
                <w:sz w:val="17"/>
                <w:szCs w:val="17"/>
                <w:color w:val="0000FF"/>
              </w:rPr>
            </w:pPr>
            <w:hyperlink r:id="rId47">
              <w:r>
                <w:rPr>
                  <w:rFonts w:ascii="Arial" w:cs="Arial" w:eastAsia="Arial" w:hAnsi="Arial"/>
                  <w:sz w:val="17"/>
                  <w:szCs w:val="17"/>
                  <w:color w:val="0000FF"/>
                </w:rPr>
                <w:t>2017 Stock Incentive Plan and related form</w:t>
              </w:r>
            </w:hyperlink>
          </w:p>
        </w:tc>
        <w:tc>
          <w:tcPr>
            <w:tcW w:w="1420" w:type="dxa"/>
            <w:vAlign w:val="bottom"/>
          </w:tcPr>
          <w:p>
            <w:pPr>
              <w:jc w:val="center"/>
              <w:spacing w:after="0"/>
              <w:rPr>
                <w:sz w:val="20"/>
                <w:szCs w:val="20"/>
                <w:color w:val="auto"/>
              </w:rPr>
            </w:pPr>
            <w:r>
              <w:rPr>
                <w:rFonts w:ascii="Arial" w:cs="Arial" w:eastAsia="Arial" w:hAnsi="Arial"/>
                <w:sz w:val="17"/>
                <w:szCs w:val="17"/>
                <w:color w:val="auto"/>
                <w:w w:val="98"/>
              </w:rPr>
              <w:t>S-1/A</w:t>
            </w:r>
          </w:p>
        </w:tc>
        <w:tc>
          <w:tcPr>
            <w:tcW w:w="1800" w:type="dxa"/>
            <w:vAlign w:val="bottom"/>
          </w:tcPr>
          <w:p>
            <w:pPr>
              <w:jc w:val="center"/>
              <w:spacing w:after="0"/>
              <w:rPr>
                <w:sz w:val="20"/>
                <w:szCs w:val="20"/>
                <w:color w:val="auto"/>
              </w:rPr>
            </w:pPr>
            <w:r>
              <w:rPr>
                <w:rFonts w:ascii="Arial" w:cs="Arial" w:eastAsia="Arial" w:hAnsi="Arial"/>
                <w:sz w:val="17"/>
                <w:szCs w:val="17"/>
                <w:color w:val="auto"/>
                <w:w w:val="92"/>
              </w:rPr>
              <w:t>333-250035</w:t>
            </w:r>
          </w:p>
        </w:tc>
        <w:tc>
          <w:tcPr>
            <w:tcW w:w="1400" w:type="dxa"/>
            <w:vAlign w:val="bottom"/>
          </w:tcPr>
          <w:p>
            <w:pPr>
              <w:jc w:val="center"/>
              <w:spacing w:after="0"/>
              <w:rPr>
                <w:sz w:val="20"/>
                <w:szCs w:val="20"/>
                <w:color w:val="auto"/>
              </w:rPr>
            </w:pPr>
            <w:r>
              <w:rPr>
                <w:rFonts w:ascii="Arial" w:cs="Arial" w:eastAsia="Arial" w:hAnsi="Arial"/>
                <w:sz w:val="17"/>
                <w:szCs w:val="17"/>
                <w:color w:val="auto"/>
                <w:w w:val="90"/>
              </w:rPr>
              <w:t>10.3</w:t>
            </w:r>
          </w:p>
        </w:tc>
        <w:tc>
          <w:tcPr>
            <w:tcW w:w="1240" w:type="dxa"/>
            <w:vAlign w:val="bottom"/>
          </w:tcPr>
          <w:p>
            <w:pPr>
              <w:jc w:val="center"/>
              <w:ind w:left="376"/>
              <w:spacing w:after="0"/>
              <w:rPr>
                <w:sz w:val="20"/>
                <w:szCs w:val="20"/>
                <w:color w:val="auto"/>
              </w:rPr>
            </w:pPr>
            <w:r>
              <w:rPr>
                <w:rFonts w:ascii="Arial" w:cs="Arial" w:eastAsia="Arial" w:hAnsi="Arial"/>
                <w:sz w:val="17"/>
                <w:szCs w:val="17"/>
                <w:color w:val="auto"/>
                <w:w w:val="91"/>
              </w:rPr>
              <w:t>11/30/2020</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top w:val="single" w:sz="8" w:color="0000FF"/>
              <w:bottom w:val="single" w:sz="8" w:color="0000FF"/>
            </w:tcBorders>
            <w:gridSpan w:val="3"/>
          </w:tcPr>
          <w:p>
            <w:pPr>
              <w:spacing w:after="0" w:line="183" w:lineRule="exact"/>
              <w:rPr>
                <w:rFonts w:ascii="Arial" w:cs="Arial" w:eastAsia="Arial" w:hAnsi="Arial"/>
                <w:sz w:val="17"/>
                <w:szCs w:val="17"/>
                <w:color w:val="0000FF"/>
                <w:w w:val="84"/>
              </w:rPr>
            </w:pPr>
            <w:hyperlink r:id="rId47">
              <w:r>
                <w:rPr>
                  <w:rFonts w:ascii="Arial" w:cs="Arial" w:eastAsia="Arial" w:hAnsi="Arial"/>
                  <w:sz w:val="17"/>
                  <w:szCs w:val="17"/>
                  <w:color w:val="0000FF"/>
                  <w:w w:val="84"/>
                </w:rPr>
                <w:t>agreements.</w:t>
              </w:r>
            </w:hyperlink>
          </w:p>
        </w:tc>
        <w:tc>
          <w:tcPr>
            <w:tcW w:w="2140" w:type="dxa"/>
            <w:vAlign w:val="bottom"/>
            <w:tcBorders>
              <w:top w:val="single" w:sz="8" w:color="0000FF"/>
            </w:tcBorders>
            <w:gridSpan w:val="6"/>
          </w:tcPr>
          <w:p>
            <w:pPr>
              <w:spacing w:after="0"/>
              <w:rPr>
                <w:sz w:val="15"/>
                <w:szCs w:val="15"/>
                <w:color w:val="auto"/>
              </w:rPr>
            </w:pPr>
          </w:p>
        </w:tc>
        <w:tc>
          <w:tcPr>
            <w:tcW w:w="580" w:type="dxa"/>
            <w:vAlign w:val="bottom"/>
            <w:gridSpan w:val="8"/>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60"/>
          </w:cols>
          <w:pgMar w:left="320" w:top="1440" w:right="519" w:bottom="1440" w:gutter="0" w:footer="0" w:header="0"/>
        </w:sectPr>
      </w:pPr>
    </w:p>
    <w:bookmarkStart w:id="132" w:name="page133"/>
    <w:bookmarkEnd w:id="132"/>
    <w:p>
      <w:pPr>
        <w:spacing w:after="0" w:line="194" w:lineRule="exact"/>
        <w:rPr>
          <w:sz w:val="20"/>
          <w:szCs w:val="20"/>
          <w:color w:val="auto"/>
        </w:rPr>
      </w:pPr>
    </w:p>
    <w:p>
      <w:pPr>
        <w:ind w:left="820" w:right="60" w:hanging="782"/>
        <w:spacing w:after="0" w:line="274" w:lineRule="auto"/>
        <w:tabs>
          <w:tab w:leader="none" w:pos="800" w:val="left"/>
        </w:tabs>
        <w:rPr>
          <w:rFonts w:ascii="Arial" w:cs="Arial" w:eastAsia="Arial" w:hAnsi="Arial"/>
          <w:sz w:val="17"/>
          <w:szCs w:val="17"/>
          <w:u w:val="single" w:color="auto"/>
          <w:color w:val="0000FF"/>
        </w:rPr>
      </w:pPr>
      <w:r>
        <w:rPr>
          <w:rFonts w:ascii="Arial" w:cs="Arial" w:eastAsia="Arial" w:hAnsi="Arial"/>
          <w:sz w:val="17"/>
          <w:szCs w:val="17"/>
          <w:color w:val="auto"/>
        </w:rPr>
        <w:t>10.4+</w:t>
      </w:r>
      <w:r>
        <w:rPr>
          <w:sz w:val="20"/>
          <w:szCs w:val="20"/>
          <w:color w:val="auto"/>
        </w:rPr>
        <w:tab/>
      </w:r>
      <w:hyperlink r:id="rId48">
        <w:r>
          <w:rPr>
            <w:rFonts w:ascii="Arial" w:cs="Arial" w:eastAsia="Arial" w:hAnsi="Arial"/>
            <w:sz w:val="17"/>
            <w:szCs w:val="17"/>
            <w:u w:val="single" w:color="auto"/>
            <w:color w:val="0000FF"/>
          </w:rPr>
          <w:t>2020 RSU Equity Incentive Plan and related form</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agreements.</w:t>
        </w:r>
      </w:hyperlink>
    </w:p>
    <w:p>
      <w:pPr>
        <w:spacing w:after="0" w:line="229" w:lineRule="exact"/>
        <w:rPr>
          <w:sz w:val="20"/>
          <w:szCs w:val="20"/>
          <w:color w:val="auto"/>
        </w:rPr>
      </w:pPr>
    </w:p>
    <w:p>
      <w:pPr>
        <w:ind w:left="40"/>
        <w:spacing w:after="0"/>
        <w:tabs>
          <w:tab w:leader="none" w:pos="800" w:val="left"/>
        </w:tabs>
        <w:rPr>
          <w:rFonts w:ascii="Arial" w:cs="Arial" w:eastAsia="Arial" w:hAnsi="Arial"/>
          <w:sz w:val="15"/>
          <w:szCs w:val="15"/>
          <w:u w:val="single" w:color="auto"/>
          <w:color w:val="0000FF"/>
        </w:rPr>
      </w:pPr>
      <w:r>
        <w:rPr>
          <w:rFonts w:ascii="Arial" w:cs="Arial" w:eastAsia="Arial" w:hAnsi="Arial"/>
          <w:sz w:val="17"/>
          <w:szCs w:val="17"/>
          <w:color w:val="auto"/>
        </w:rPr>
        <w:t>10.5+</w:t>
      </w:r>
      <w:r>
        <w:rPr>
          <w:sz w:val="20"/>
          <w:szCs w:val="20"/>
          <w:color w:val="auto"/>
        </w:rPr>
        <w:tab/>
      </w:r>
      <w:hyperlink r:id="rId49">
        <w:r>
          <w:rPr>
            <w:rFonts w:ascii="Arial" w:cs="Arial" w:eastAsia="Arial" w:hAnsi="Arial"/>
            <w:sz w:val="15"/>
            <w:szCs w:val="15"/>
            <w:u w:val="single" w:color="auto"/>
            <w:color w:val="0000FF"/>
          </w:rPr>
          <w:t>2020 Employee Stock Purchase Plan.</w:t>
        </w:r>
      </w:hyperlink>
    </w:p>
    <w:p>
      <w:pPr>
        <w:spacing w:after="0" w:line="277" w:lineRule="exact"/>
        <w:rPr>
          <w:sz w:val="20"/>
          <w:szCs w:val="20"/>
          <w:color w:val="auto"/>
        </w:rPr>
      </w:pPr>
    </w:p>
    <w:p>
      <w:pPr>
        <w:ind w:left="820" w:right="140" w:hanging="782"/>
        <w:spacing w:after="0" w:line="261" w:lineRule="auto"/>
        <w:tabs>
          <w:tab w:leader="none" w:pos="800" w:val="left"/>
        </w:tabs>
        <w:rPr>
          <w:rFonts w:ascii="Arial" w:cs="Arial" w:eastAsia="Arial" w:hAnsi="Arial"/>
          <w:sz w:val="17"/>
          <w:szCs w:val="17"/>
          <w:u w:val="single" w:color="auto"/>
          <w:color w:val="0000FF"/>
        </w:rPr>
      </w:pPr>
      <w:r>
        <w:rPr>
          <w:rFonts w:ascii="Arial" w:cs="Arial" w:eastAsia="Arial" w:hAnsi="Arial"/>
          <w:sz w:val="17"/>
          <w:szCs w:val="17"/>
          <w:color w:val="auto"/>
        </w:rPr>
        <w:t>10.6+</w:t>
      </w:r>
      <w:r>
        <w:rPr>
          <w:sz w:val="20"/>
          <w:szCs w:val="20"/>
          <w:color w:val="auto"/>
        </w:rPr>
        <w:tab/>
      </w:r>
      <w:hyperlink r:id="rId50">
        <w:r>
          <w:rPr>
            <w:rFonts w:ascii="Arial" w:cs="Arial" w:eastAsia="Arial" w:hAnsi="Arial"/>
            <w:sz w:val="17"/>
            <w:szCs w:val="17"/>
            <w:u w:val="single" w:color="auto"/>
            <w:color w:val="0000FF"/>
          </w:rPr>
          <w:t>Key Executive Change in Control and Severance</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Plan, and form of Participation Agreement</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thereunder.</w:t>
        </w:r>
      </w:hyperlink>
    </w:p>
    <w:p>
      <w:pPr>
        <w:spacing w:after="0" w:line="240" w:lineRule="exact"/>
        <w:rPr>
          <w:rFonts w:ascii="Arial" w:cs="Arial" w:eastAsia="Arial" w:hAnsi="Arial"/>
          <w:sz w:val="17"/>
          <w:szCs w:val="17"/>
          <w:u w:val="single" w:color="auto"/>
          <w:color w:val="0000FF"/>
        </w:rPr>
      </w:pPr>
    </w:p>
    <w:p>
      <w:pPr>
        <w:ind w:left="820" w:right="80" w:hanging="782"/>
        <w:spacing w:after="0" w:line="261" w:lineRule="auto"/>
        <w:tabs>
          <w:tab w:leader="none" w:pos="800" w:val="left"/>
        </w:tabs>
        <w:rPr>
          <w:rFonts w:ascii="Arial" w:cs="Arial" w:eastAsia="Arial" w:hAnsi="Arial"/>
          <w:sz w:val="17"/>
          <w:szCs w:val="17"/>
          <w:u w:val="single" w:color="auto"/>
          <w:color w:val="0000FF"/>
        </w:rPr>
      </w:pPr>
      <w:r>
        <w:rPr>
          <w:rFonts w:ascii="Arial" w:cs="Arial" w:eastAsia="Arial" w:hAnsi="Arial"/>
          <w:sz w:val="17"/>
          <w:szCs w:val="17"/>
          <w:color w:val="auto"/>
        </w:rPr>
        <w:t>10.7+</w:t>
      </w:r>
      <w:r>
        <w:rPr>
          <w:sz w:val="20"/>
          <w:szCs w:val="20"/>
          <w:color w:val="auto"/>
        </w:rPr>
        <w:tab/>
      </w:r>
      <w:hyperlink r:id="rId51">
        <w:r>
          <w:rPr>
            <w:rFonts w:ascii="Arial" w:cs="Arial" w:eastAsia="Arial" w:hAnsi="Arial"/>
            <w:sz w:val="17"/>
            <w:szCs w:val="17"/>
            <w:u w:val="single" w:color="auto"/>
            <w:color w:val="0000FF"/>
          </w:rPr>
          <w:t>Confirmatory Offer Letter between the Registrant</w:t>
        </w:r>
      </w:hyperlink>
      <w:r>
        <w:rPr>
          <w:rFonts w:ascii="Arial" w:cs="Arial" w:eastAsia="Arial" w:hAnsi="Arial"/>
          <w:sz w:val="17"/>
          <w:szCs w:val="17"/>
          <w:u w:val="single" w:color="auto"/>
          <w:color w:val="0000FF"/>
        </w:rPr>
        <w:t xml:space="preserve"> </w:t>
      </w:r>
      <w:hyperlink r:id="rId51">
        <w:r>
          <w:rPr>
            <w:rFonts w:ascii="Arial" w:cs="Arial" w:eastAsia="Arial" w:hAnsi="Arial"/>
            <w:sz w:val="17"/>
            <w:szCs w:val="17"/>
            <w:u w:val="single" w:color="auto"/>
            <w:color w:val="0000FF"/>
          </w:rPr>
          <w:t>and Dr. Omid Farokhzad, dated November 30,</w:t>
        </w:r>
      </w:hyperlink>
      <w:r>
        <w:rPr>
          <w:rFonts w:ascii="Arial" w:cs="Arial" w:eastAsia="Arial" w:hAnsi="Arial"/>
          <w:sz w:val="17"/>
          <w:szCs w:val="17"/>
          <w:u w:val="single" w:color="auto"/>
          <w:color w:val="0000FF"/>
        </w:rPr>
        <w:t xml:space="preserve"> </w:t>
      </w:r>
      <w:hyperlink r:id="rId51">
        <w:r>
          <w:rPr>
            <w:rFonts w:ascii="Arial" w:cs="Arial" w:eastAsia="Arial" w:hAnsi="Arial"/>
            <w:sz w:val="17"/>
            <w:szCs w:val="17"/>
            <w:u w:val="single" w:color="auto"/>
            <w:color w:val="0000FF"/>
          </w:rPr>
          <w:t>2020.</w:t>
        </w:r>
      </w:hyperlink>
    </w:p>
    <w:p>
      <w:pPr>
        <w:spacing w:after="0" w:line="240" w:lineRule="exact"/>
        <w:rPr>
          <w:rFonts w:ascii="Arial" w:cs="Arial" w:eastAsia="Arial" w:hAnsi="Arial"/>
          <w:sz w:val="17"/>
          <w:szCs w:val="17"/>
          <w:u w:val="single" w:color="auto"/>
          <w:color w:val="0000FF"/>
        </w:rPr>
      </w:pPr>
    </w:p>
    <w:p>
      <w:pPr>
        <w:ind w:left="820" w:right="80" w:hanging="782"/>
        <w:spacing w:after="0" w:line="342" w:lineRule="auto"/>
        <w:tabs>
          <w:tab w:leader="none" w:pos="800" w:val="left"/>
        </w:tabs>
        <w:rPr>
          <w:rFonts w:ascii="Arial" w:cs="Arial" w:eastAsia="Arial" w:hAnsi="Arial"/>
          <w:sz w:val="15"/>
          <w:szCs w:val="15"/>
          <w:u w:val="single" w:color="auto"/>
          <w:color w:val="0000FF"/>
        </w:rPr>
      </w:pPr>
      <w:r>
        <w:rPr>
          <w:rFonts w:ascii="Arial" w:cs="Arial" w:eastAsia="Arial" w:hAnsi="Arial"/>
          <w:sz w:val="17"/>
          <w:szCs w:val="17"/>
          <w:color w:val="auto"/>
        </w:rPr>
        <w:t>10.8+</w:t>
      </w:r>
      <w:r>
        <w:rPr>
          <w:sz w:val="20"/>
          <w:szCs w:val="20"/>
          <w:color w:val="auto"/>
        </w:rPr>
        <w:tab/>
      </w:r>
      <w:hyperlink r:id="rId52">
        <w:r>
          <w:rPr>
            <w:rFonts w:ascii="Arial" w:cs="Arial" w:eastAsia="Arial" w:hAnsi="Arial"/>
            <w:sz w:val="15"/>
            <w:szCs w:val="15"/>
            <w:u w:val="single" w:color="auto"/>
            <w:color w:val="0000FF"/>
          </w:rPr>
          <w:t>Confirmatory Offer Letter between the Registrant</w:t>
        </w:r>
      </w:hyperlink>
      <w:r>
        <w:rPr>
          <w:rFonts w:ascii="Arial" w:cs="Arial" w:eastAsia="Arial" w:hAnsi="Arial"/>
          <w:sz w:val="15"/>
          <w:szCs w:val="15"/>
          <w:u w:val="single" w:color="auto"/>
          <w:color w:val="0000FF"/>
        </w:rPr>
        <w:t xml:space="preserve"> </w:t>
      </w:r>
      <w:hyperlink r:id="rId52">
        <w:r>
          <w:rPr>
            <w:rFonts w:ascii="Arial" w:cs="Arial" w:eastAsia="Arial" w:hAnsi="Arial"/>
            <w:sz w:val="15"/>
            <w:szCs w:val="15"/>
            <w:u w:val="single" w:color="auto"/>
            <w:color w:val="0000FF"/>
          </w:rPr>
          <w:t>and Omead Ostadan, dated November 30, 2020.</w:t>
        </w:r>
      </w:hyperlink>
    </w:p>
    <w:p>
      <w:pPr>
        <w:spacing w:after="0" w:line="183" w:lineRule="exact"/>
        <w:rPr>
          <w:sz w:val="20"/>
          <w:szCs w:val="20"/>
          <w:color w:val="auto"/>
        </w:rPr>
      </w:pPr>
    </w:p>
    <w:p>
      <w:pPr>
        <w:ind w:left="820" w:right="80" w:hanging="782"/>
        <w:spacing w:after="0" w:line="342" w:lineRule="auto"/>
        <w:tabs>
          <w:tab w:leader="none" w:pos="800" w:val="left"/>
        </w:tabs>
        <w:rPr>
          <w:rFonts w:ascii="Arial" w:cs="Arial" w:eastAsia="Arial" w:hAnsi="Arial"/>
          <w:sz w:val="15"/>
          <w:szCs w:val="15"/>
          <w:u w:val="single" w:color="auto"/>
          <w:color w:val="0000FF"/>
        </w:rPr>
      </w:pPr>
      <w:r>
        <w:rPr>
          <w:rFonts w:ascii="Arial" w:cs="Arial" w:eastAsia="Arial" w:hAnsi="Arial"/>
          <w:sz w:val="17"/>
          <w:szCs w:val="17"/>
          <w:color w:val="auto"/>
        </w:rPr>
        <w:t>10.9+</w:t>
      </w:r>
      <w:r>
        <w:rPr>
          <w:sz w:val="20"/>
          <w:szCs w:val="20"/>
          <w:color w:val="auto"/>
        </w:rPr>
        <w:tab/>
      </w:r>
      <w:hyperlink r:id="rId53">
        <w:r>
          <w:rPr>
            <w:rFonts w:ascii="Arial" w:cs="Arial" w:eastAsia="Arial" w:hAnsi="Arial"/>
            <w:sz w:val="15"/>
            <w:szCs w:val="15"/>
            <w:u w:val="single" w:color="auto"/>
            <w:color w:val="0000FF"/>
          </w:rPr>
          <w:t>Confirmatory Offer Letter between the Registrant</w:t>
        </w:r>
      </w:hyperlink>
      <w:r>
        <w:rPr>
          <w:rFonts w:ascii="Arial" w:cs="Arial" w:eastAsia="Arial" w:hAnsi="Arial"/>
          <w:sz w:val="15"/>
          <w:szCs w:val="15"/>
          <w:u w:val="single" w:color="auto"/>
          <w:color w:val="0000FF"/>
        </w:rPr>
        <w:t xml:space="preserve"> </w:t>
      </w:r>
      <w:hyperlink r:id="rId53">
        <w:r>
          <w:rPr>
            <w:rFonts w:ascii="Arial" w:cs="Arial" w:eastAsia="Arial" w:hAnsi="Arial"/>
            <w:sz w:val="15"/>
            <w:szCs w:val="15"/>
            <w:u w:val="single" w:color="auto"/>
            <w:color w:val="0000FF"/>
          </w:rPr>
          <w:t>and David Horn, dated November 30, 2020.</w:t>
        </w:r>
      </w:hyperlink>
    </w:p>
    <w:p>
      <w:pPr>
        <w:spacing w:after="0" w:line="183" w:lineRule="exact"/>
        <w:rPr>
          <w:sz w:val="20"/>
          <w:szCs w:val="20"/>
          <w:color w:val="auto"/>
        </w:rPr>
      </w:pPr>
    </w:p>
    <w:p>
      <w:pPr>
        <w:ind w:left="820" w:hanging="824"/>
        <w:spacing w:after="0" w:line="261" w:lineRule="auto"/>
        <w:tabs>
          <w:tab w:leader="none" w:pos="800" w:val="left"/>
        </w:tabs>
        <w:rPr>
          <w:rFonts w:ascii="Arial" w:cs="Arial" w:eastAsia="Arial" w:hAnsi="Arial"/>
          <w:sz w:val="17"/>
          <w:szCs w:val="17"/>
          <w:u w:val="single" w:color="auto"/>
          <w:color w:val="0000FF"/>
        </w:rPr>
      </w:pPr>
      <w:r>
        <w:rPr>
          <w:rFonts w:ascii="Arial" w:cs="Arial" w:eastAsia="Arial" w:hAnsi="Arial"/>
          <w:sz w:val="17"/>
          <w:szCs w:val="17"/>
          <w:color w:val="auto"/>
        </w:rPr>
        <w:t>10.10+</w:t>
      </w:r>
      <w:r>
        <w:rPr>
          <w:sz w:val="20"/>
          <w:szCs w:val="20"/>
          <w:color w:val="auto"/>
        </w:rPr>
        <w:tab/>
      </w:r>
      <w:hyperlink r:id="rId54">
        <w:r>
          <w:rPr>
            <w:rFonts w:ascii="Arial" w:cs="Arial" w:eastAsia="Arial" w:hAnsi="Arial"/>
            <w:sz w:val="17"/>
            <w:szCs w:val="17"/>
            <w:u w:val="single" w:color="auto"/>
            <w:color w:val="0000FF"/>
          </w:rPr>
          <w:t>CEO Change in Control and Severance Agreement</w:t>
        </w:r>
      </w:hyperlink>
      <w:r>
        <w:rPr>
          <w:rFonts w:ascii="Arial" w:cs="Arial" w:eastAsia="Arial" w:hAnsi="Arial"/>
          <w:sz w:val="17"/>
          <w:szCs w:val="17"/>
          <w:u w:val="single" w:color="auto"/>
          <w:color w:val="0000FF"/>
        </w:rPr>
        <w:t xml:space="preserve"> </w:t>
      </w:r>
      <w:hyperlink r:id="rId54">
        <w:r>
          <w:rPr>
            <w:rFonts w:ascii="Arial" w:cs="Arial" w:eastAsia="Arial" w:hAnsi="Arial"/>
            <w:sz w:val="17"/>
            <w:szCs w:val="17"/>
            <w:u w:val="single" w:color="auto"/>
            <w:color w:val="0000FF"/>
          </w:rPr>
          <w:t>between the Registrant and Dr. Omid Farokhzad,</w:t>
        </w:r>
      </w:hyperlink>
      <w:r>
        <w:rPr>
          <w:rFonts w:ascii="Arial" w:cs="Arial" w:eastAsia="Arial" w:hAnsi="Arial"/>
          <w:sz w:val="17"/>
          <w:szCs w:val="17"/>
          <w:u w:val="single" w:color="auto"/>
          <w:color w:val="0000FF"/>
        </w:rPr>
        <w:t xml:space="preserve"> </w:t>
      </w:r>
      <w:hyperlink r:id="rId54">
        <w:r>
          <w:rPr>
            <w:rFonts w:ascii="Arial" w:cs="Arial" w:eastAsia="Arial" w:hAnsi="Arial"/>
            <w:sz w:val="17"/>
            <w:szCs w:val="17"/>
            <w:u w:val="single" w:color="auto"/>
            <w:color w:val="0000FF"/>
          </w:rPr>
          <w:t>dated November 30, 2020.</w:t>
        </w:r>
      </w:hyperlink>
    </w:p>
    <w:p>
      <w:pPr>
        <w:spacing w:after="0" w:line="240" w:lineRule="exact"/>
        <w:rPr>
          <w:rFonts w:ascii="Arial" w:cs="Arial" w:eastAsia="Arial" w:hAnsi="Arial"/>
          <w:sz w:val="17"/>
          <w:szCs w:val="17"/>
          <w:u w:val="single" w:color="auto"/>
          <w:color w:val="0000FF"/>
        </w:rPr>
      </w:pPr>
    </w:p>
    <w:p>
      <w:pPr>
        <w:spacing w:after="0"/>
        <w:tabs>
          <w:tab w:leader="none" w:pos="800" w:val="left"/>
        </w:tabs>
        <w:rPr>
          <w:rFonts w:ascii="Arial" w:cs="Arial" w:eastAsia="Arial" w:hAnsi="Arial"/>
          <w:sz w:val="15"/>
          <w:szCs w:val="15"/>
          <w:u w:val="single" w:color="auto"/>
          <w:color w:val="0000FF"/>
        </w:rPr>
      </w:pPr>
      <w:r>
        <w:rPr>
          <w:rFonts w:ascii="Arial" w:cs="Arial" w:eastAsia="Arial" w:hAnsi="Arial"/>
          <w:sz w:val="17"/>
          <w:szCs w:val="17"/>
          <w:color w:val="auto"/>
        </w:rPr>
        <w:t>10.11+</w:t>
      </w:r>
      <w:r>
        <w:rPr>
          <w:sz w:val="20"/>
          <w:szCs w:val="20"/>
          <w:color w:val="auto"/>
        </w:rPr>
        <w:tab/>
      </w:r>
      <w:hyperlink r:id="rId55">
        <w:r>
          <w:rPr>
            <w:rFonts w:ascii="Arial" w:cs="Arial" w:eastAsia="Arial" w:hAnsi="Arial"/>
            <w:sz w:val="15"/>
            <w:szCs w:val="15"/>
            <w:u w:val="single" w:color="auto"/>
            <w:color w:val="0000FF"/>
          </w:rPr>
          <w:t>Executive Incentive Compensation Plan</w:t>
        </w:r>
      </w:hyperlink>
      <w:r>
        <w:rPr>
          <w:rFonts w:ascii="Arial" w:cs="Arial" w:eastAsia="Arial" w:hAnsi="Arial"/>
          <w:sz w:val="15"/>
          <w:szCs w:val="15"/>
          <w:color w:val="000000"/>
        </w:rPr>
        <w:t>.</w:t>
      </w:r>
    </w:p>
    <w:p>
      <w:pPr>
        <w:spacing w:after="0" w:line="277" w:lineRule="exact"/>
        <w:rPr>
          <w:rFonts w:ascii="Arial" w:cs="Arial" w:eastAsia="Arial" w:hAnsi="Arial"/>
          <w:sz w:val="17"/>
          <w:szCs w:val="17"/>
          <w:u w:val="single" w:color="auto"/>
          <w:color w:val="0000FF"/>
        </w:rPr>
      </w:pPr>
    </w:p>
    <w:p>
      <w:pPr>
        <w:spacing w:after="0"/>
        <w:tabs>
          <w:tab w:leader="none" w:pos="800" w:val="left"/>
        </w:tabs>
        <w:rPr>
          <w:rFonts w:ascii="Arial" w:cs="Arial" w:eastAsia="Arial" w:hAnsi="Arial"/>
          <w:sz w:val="15"/>
          <w:szCs w:val="15"/>
          <w:u w:val="single" w:color="auto"/>
          <w:color w:val="0000FF"/>
        </w:rPr>
      </w:pPr>
      <w:r>
        <w:rPr>
          <w:rFonts w:ascii="Arial" w:cs="Arial" w:eastAsia="Arial" w:hAnsi="Arial"/>
          <w:sz w:val="17"/>
          <w:szCs w:val="17"/>
          <w:color w:val="auto"/>
        </w:rPr>
        <w:t>10.12+</w:t>
      </w:r>
      <w:r>
        <w:rPr>
          <w:sz w:val="20"/>
          <w:szCs w:val="20"/>
          <w:color w:val="auto"/>
        </w:rPr>
        <w:tab/>
      </w:r>
      <w:hyperlink r:id="rId56">
        <w:r>
          <w:rPr>
            <w:rFonts w:ascii="Arial" w:cs="Arial" w:eastAsia="Arial" w:hAnsi="Arial"/>
            <w:sz w:val="15"/>
            <w:szCs w:val="15"/>
            <w:u w:val="single" w:color="auto"/>
            <w:color w:val="0000FF"/>
          </w:rPr>
          <w:t>Outside Director Compensation Policy.</w:t>
        </w:r>
      </w:hyperlink>
    </w:p>
    <w:p>
      <w:pPr>
        <w:spacing w:after="0" w:line="277" w:lineRule="exact"/>
        <w:rPr>
          <w:rFonts w:ascii="Arial" w:cs="Arial" w:eastAsia="Arial" w:hAnsi="Arial"/>
          <w:sz w:val="17"/>
          <w:szCs w:val="17"/>
          <w:u w:val="single" w:color="auto"/>
          <w:color w:val="0000FF"/>
        </w:rPr>
      </w:pPr>
    </w:p>
    <w:p>
      <w:pPr>
        <w:ind w:left="820" w:right="200" w:hanging="819"/>
        <w:spacing w:after="0" w:line="261" w:lineRule="auto"/>
        <w:tabs>
          <w:tab w:leader="none" w:pos="800" w:val="left"/>
        </w:tabs>
        <w:rPr>
          <w:rFonts w:ascii="Arial" w:cs="Arial" w:eastAsia="Arial" w:hAnsi="Arial"/>
          <w:sz w:val="17"/>
          <w:szCs w:val="17"/>
          <w:u w:val="single" w:color="auto"/>
          <w:color w:val="0000FF"/>
        </w:rPr>
      </w:pPr>
      <w:r>
        <w:rPr>
          <w:rFonts w:ascii="Arial" w:cs="Arial" w:eastAsia="Arial" w:hAnsi="Arial"/>
          <w:sz w:val="17"/>
          <w:szCs w:val="17"/>
          <w:color w:val="auto"/>
        </w:rPr>
        <w:t>10.13#</w:t>
      </w:r>
      <w:r>
        <w:rPr>
          <w:sz w:val="20"/>
          <w:szCs w:val="20"/>
          <w:color w:val="auto"/>
        </w:rPr>
        <w:tab/>
      </w:r>
      <w:hyperlink r:id="rId57">
        <w:r>
          <w:rPr>
            <w:rFonts w:ascii="Arial" w:cs="Arial" w:eastAsia="Arial" w:hAnsi="Arial"/>
            <w:sz w:val="17"/>
            <w:szCs w:val="17"/>
            <w:u w:val="single" w:color="auto"/>
            <w:color w:val="0000FF"/>
          </w:rPr>
          <w:t>Umbrella Development &amp; Supply Agreement</w:t>
        </w:r>
      </w:hyperlink>
      <w:r>
        <w:rPr>
          <w:rFonts w:ascii="Arial" w:cs="Arial" w:eastAsia="Arial" w:hAnsi="Arial"/>
          <w:sz w:val="17"/>
          <w:szCs w:val="17"/>
          <w:u w:val="single" w:color="auto"/>
          <w:color w:val="0000FF"/>
        </w:rPr>
        <w:t xml:space="preserve"> </w:t>
      </w:r>
      <w:hyperlink r:id="rId57">
        <w:r>
          <w:rPr>
            <w:rFonts w:ascii="Arial" w:cs="Arial" w:eastAsia="Arial" w:hAnsi="Arial"/>
            <w:sz w:val="17"/>
            <w:szCs w:val="17"/>
            <w:u w:val="single" w:color="auto"/>
            <w:color w:val="0000FF"/>
          </w:rPr>
          <w:t>between the Registrant and Hamilton Company,</w:t>
        </w:r>
      </w:hyperlink>
      <w:r>
        <w:rPr>
          <w:rFonts w:ascii="Arial" w:cs="Arial" w:eastAsia="Arial" w:hAnsi="Arial"/>
          <w:sz w:val="17"/>
          <w:szCs w:val="17"/>
          <w:u w:val="single" w:color="auto"/>
          <w:color w:val="0000FF"/>
        </w:rPr>
        <w:t xml:space="preserve"> </w:t>
      </w:r>
      <w:hyperlink r:id="rId57">
        <w:r>
          <w:rPr>
            <w:rFonts w:ascii="Arial" w:cs="Arial" w:eastAsia="Arial" w:hAnsi="Arial"/>
            <w:sz w:val="17"/>
            <w:szCs w:val="17"/>
            <w:u w:val="single" w:color="auto"/>
            <w:color w:val="0000FF"/>
          </w:rPr>
          <w:t>dated March 9, 2020.</w:t>
        </w:r>
      </w:hyperlink>
    </w:p>
    <w:p>
      <w:pPr>
        <w:spacing w:after="0" w:line="78" w:lineRule="exact"/>
        <w:rPr>
          <w:rFonts w:ascii="Arial" w:cs="Arial" w:eastAsia="Arial" w:hAnsi="Arial"/>
          <w:sz w:val="17"/>
          <w:szCs w:val="17"/>
          <w:u w:val="single" w:color="auto"/>
          <w:color w:val="0000FF"/>
        </w:rPr>
      </w:pPr>
    </w:p>
    <w:p>
      <w:pPr>
        <w:ind w:left="820" w:right="100" w:hanging="819"/>
        <w:spacing w:after="0" w:line="285" w:lineRule="auto"/>
        <w:tabs>
          <w:tab w:leader="none" w:pos="800" w:val="left"/>
        </w:tabs>
        <w:rPr>
          <w:rFonts w:ascii="Arial" w:cs="Arial" w:eastAsia="Arial" w:hAnsi="Arial"/>
          <w:sz w:val="16"/>
          <w:szCs w:val="16"/>
          <w:u w:val="single" w:color="auto"/>
          <w:color w:val="0000FF"/>
        </w:rPr>
      </w:pPr>
      <w:r>
        <w:rPr>
          <w:rFonts w:ascii="Arial" w:cs="Arial" w:eastAsia="Arial" w:hAnsi="Arial"/>
          <w:sz w:val="17"/>
          <w:szCs w:val="17"/>
          <w:color w:val="auto"/>
        </w:rPr>
        <w:t>10.14#</w:t>
      </w:r>
      <w:r>
        <w:rPr>
          <w:sz w:val="20"/>
          <w:szCs w:val="20"/>
          <w:color w:val="auto"/>
        </w:rPr>
        <w:tab/>
      </w:r>
      <w:hyperlink r:id="rId58">
        <w:r>
          <w:rPr>
            <w:rFonts w:ascii="Arial" w:cs="Arial" w:eastAsia="Arial" w:hAnsi="Arial"/>
            <w:sz w:val="16"/>
            <w:szCs w:val="16"/>
            <w:u w:val="single" w:color="auto"/>
            <w:color w:val="0000FF"/>
          </w:rPr>
          <w:t>Exclusive Patent License Agreement between the</w:t>
        </w:r>
      </w:hyperlink>
      <w:r>
        <w:rPr>
          <w:rFonts w:ascii="Arial" w:cs="Arial" w:eastAsia="Arial" w:hAnsi="Arial"/>
          <w:sz w:val="16"/>
          <w:szCs w:val="16"/>
          <w:u w:val="single" w:color="auto"/>
          <w:color w:val="0000FF"/>
        </w:rPr>
        <w:t xml:space="preserve"> </w:t>
      </w:r>
      <w:hyperlink r:id="rId58">
        <w:r>
          <w:rPr>
            <w:rFonts w:ascii="Arial" w:cs="Arial" w:eastAsia="Arial" w:hAnsi="Arial"/>
            <w:sz w:val="16"/>
            <w:szCs w:val="16"/>
            <w:u w:val="single" w:color="auto"/>
            <w:color w:val="0000FF"/>
          </w:rPr>
          <w:t>Registrant and The Brigham and Women’s</w:t>
        </w:r>
      </w:hyperlink>
      <w:r>
        <w:rPr>
          <w:rFonts w:ascii="Arial" w:cs="Arial" w:eastAsia="Arial" w:hAnsi="Arial"/>
          <w:sz w:val="16"/>
          <w:szCs w:val="16"/>
          <w:u w:val="single" w:color="auto"/>
          <w:color w:val="0000FF"/>
        </w:rPr>
        <w:t xml:space="preserve"> </w:t>
      </w:r>
      <w:hyperlink r:id="rId58">
        <w:r>
          <w:rPr>
            <w:rFonts w:ascii="Arial" w:cs="Arial" w:eastAsia="Arial" w:hAnsi="Arial"/>
            <w:sz w:val="16"/>
            <w:szCs w:val="16"/>
            <w:u w:val="single" w:color="auto"/>
            <w:color w:val="0000FF"/>
          </w:rPr>
          <w:t>Hospital, Inc., dated December 18, 2017.</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74"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16"/>
        </w:trPr>
        <w:tc>
          <w:tcPr>
            <w:tcW w:w="900" w:type="dxa"/>
            <w:vAlign w:val="bottom"/>
          </w:tcPr>
          <w:p>
            <w:pPr>
              <w:jc w:val="center"/>
              <w:ind w:right="395"/>
              <w:spacing w:after="0"/>
              <w:rPr>
                <w:sz w:val="20"/>
                <w:szCs w:val="20"/>
                <w:color w:val="auto"/>
              </w:rPr>
            </w:pPr>
            <w:r>
              <w:rPr>
                <w:rFonts w:ascii="Arial" w:cs="Arial" w:eastAsia="Arial" w:hAnsi="Arial"/>
                <w:sz w:val="17"/>
                <w:szCs w:val="17"/>
                <w:color w:val="auto"/>
                <w:w w:val="98"/>
              </w:rPr>
              <w:t>S-1/A</w:t>
            </w:r>
          </w:p>
        </w:tc>
        <w:tc>
          <w:tcPr>
            <w:tcW w:w="1820" w:type="dxa"/>
            <w:vAlign w:val="bottom"/>
          </w:tcPr>
          <w:p>
            <w:pPr>
              <w:jc w:val="right"/>
              <w:ind w:right="395"/>
              <w:spacing w:after="0"/>
              <w:rPr>
                <w:sz w:val="20"/>
                <w:szCs w:val="20"/>
                <w:color w:val="auto"/>
              </w:rPr>
            </w:pPr>
            <w:r>
              <w:rPr>
                <w:rFonts w:ascii="Arial" w:cs="Arial" w:eastAsia="Arial" w:hAnsi="Arial"/>
                <w:sz w:val="17"/>
                <w:szCs w:val="17"/>
                <w:color w:val="auto"/>
              </w:rPr>
              <w:t>333-250035</w:t>
            </w: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10.4</w:t>
            </w:r>
          </w:p>
        </w:tc>
        <w:tc>
          <w:tcPr>
            <w:tcW w:w="1260" w:type="dxa"/>
            <w:vAlign w:val="bottom"/>
          </w:tcPr>
          <w:p>
            <w:pPr>
              <w:jc w:val="right"/>
              <w:spacing w:after="0"/>
              <w:rPr>
                <w:sz w:val="20"/>
                <w:szCs w:val="20"/>
                <w:color w:val="auto"/>
              </w:rPr>
            </w:pPr>
            <w:r>
              <w:rPr>
                <w:rFonts w:ascii="Arial" w:cs="Arial" w:eastAsia="Arial" w:hAnsi="Arial"/>
                <w:sz w:val="17"/>
                <w:szCs w:val="17"/>
                <w:color w:val="auto"/>
              </w:rPr>
              <w:t>11/30/2020</w:t>
            </w:r>
          </w:p>
        </w:tc>
      </w:tr>
      <w:tr>
        <w:trPr>
          <w:trHeight w:val="675"/>
        </w:trPr>
        <w:tc>
          <w:tcPr>
            <w:tcW w:w="900" w:type="dxa"/>
            <w:vAlign w:val="bottom"/>
          </w:tcPr>
          <w:p>
            <w:pPr>
              <w:jc w:val="center"/>
              <w:ind w:right="395"/>
              <w:spacing w:after="0"/>
              <w:rPr>
                <w:sz w:val="20"/>
                <w:szCs w:val="20"/>
                <w:color w:val="auto"/>
              </w:rPr>
            </w:pPr>
            <w:r>
              <w:rPr>
                <w:rFonts w:ascii="Arial" w:cs="Arial" w:eastAsia="Arial" w:hAnsi="Arial"/>
                <w:sz w:val="17"/>
                <w:szCs w:val="17"/>
                <w:color w:val="auto"/>
                <w:w w:val="98"/>
              </w:rPr>
              <w:t>S-1/A</w:t>
            </w:r>
          </w:p>
        </w:tc>
        <w:tc>
          <w:tcPr>
            <w:tcW w:w="1820" w:type="dxa"/>
            <w:vAlign w:val="bottom"/>
          </w:tcPr>
          <w:p>
            <w:pPr>
              <w:jc w:val="right"/>
              <w:ind w:right="395"/>
              <w:spacing w:after="0"/>
              <w:rPr>
                <w:sz w:val="20"/>
                <w:szCs w:val="20"/>
                <w:color w:val="auto"/>
              </w:rPr>
            </w:pPr>
            <w:r>
              <w:rPr>
                <w:rFonts w:ascii="Arial" w:cs="Arial" w:eastAsia="Arial" w:hAnsi="Arial"/>
                <w:sz w:val="17"/>
                <w:szCs w:val="17"/>
                <w:color w:val="auto"/>
              </w:rPr>
              <w:t>333-250035</w:t>
            </w: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10.5</w:t>
            </w:r>
          </w:p>
        </w:tc>
        <w:tc>
          <w:tcPr>
            <w:tcW w:w="1260" w:type="dxa"/>
            <w:vAlign w:val="bottom"/>
          </w:tcPr>
          <w:p>
            <w:pPr>
              <w:jc w:val="right"/>
              <w:spacing w:after="0"/>
              <w:rPr>
                <w:sz w:val="20"/>
                <w:szCs w:val="20"/>
                <w:color w:val="auto"/>
              </w:rPr>
            </w:pPr>
            <w:r>
              <w:rPr>
                <w:rFonts w:ascii="Arial" w:cs="Arial" w:eastAsia="Arial" w:hAnsi="Arial"/>
                <w:sz w:val="17"/>
                <w:szCs w:val="17"/>
                <w:color w:val="auto"/>
              </w:rPr>
              <w:t>11/30/2020</w:t>
            </w:r>
          </w:p>
        </w:tc>
      </w:tr>
      <w:tr>
        <w:trPr>
          <w:trHeight w:val="473"/>
        </w:trPr>
        <w:tc>
          <w:tcPr>
            <w:tcW w:w="900" w:type="dxa"/>
            <w:vAlign w:val="bottom"/>
          </w:tcPr>
          <w:p>
            <w:pPr>
              <w:jc w:val="center"/>
              <w:ind w:right="395"/>
              <w:spacing w:after="0"/>
              <w:rPr>
                <w:sz w:val="20"/>
                <w:szCs w:val="20"/>
                <w:color w:val="auto"/>
              </w:rPr>
            </w:pPr>
            <w:r>
              <w:rPr>
                <w:rFonts w:ascii="Arial" w:cs="Arial" w:eastAsia="Arial" w:hAnsi="Arial"/>
                <w:sz w:val="17"/>
                <w:szCs w:val="17"/>
                <w:color w:val="auto"/>
                <w:w w:val="98"/>
              </w:rPr>
              <w:t>S-1/A</w:t>
            </w:r>
          </w:p>
        </w:tc>
        <w:tc>
          <w:tcPr>
            <w:tcW w:w="1820" w:type="dxa"/>
            <w:vAlign w:val="bottom"/>
          </w:tcPr>
          <w:p>
            <w:pPr>
              <w:jc w:val="right"/>
              <w:ind w:right="395"/>
              <w:spacing w:after="0"/>
              <w:rPr>
                <w:sz w:val="20"/>
                <w:szCs w:val="20"/>
                <w:color w:val="auto"/>
              </w:rPr>
            </w:pPr>
            <w:r>
              <w:rPr>
                <w:rFonts w:ascii="Arial" w:cs="Arial" w:eastAsia="Arial" w:hAnsi="Arial"/>
                <w:sz w:val="17"/>
                <w:szCs w:val="17"/>
                <w:color w:val="auto"/>
              </w:rPr>
              <w:t>333-250035</w:t>
            </w: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10.6</w:t>
            </w:r>
          </w:p>
        </w:tc>
        <w:tc>
          <w:tcPr>
            <w:tcW w:w="1260" w:type="dxa"/>
            <w:vAlign w:val="bottom"/>
          </w:tcPr>
          <w:p>
            <w:pPr>
              <w:jc w:val="right"/>
              <w:spacing w:after="0"/>
              <w:rPr>
                <w:sz w:val="20"/>
                <w:szCs w:val="20"/>
                <w:color w:val="auto"/>
              </w:rPr>
            </w:pPr>
            <w:r>
              <w:rPr>
                <w:rFonts w:ascii="Arial" w:cs="Arial" w:eastAsia="Arial" w:hAnsi="Arial"/>
                <w:sz w:val="17"/>
                <w:szCs w:val="17"/>
                <w:color w:val="auto"/>
              </w:rPr>
              <w:t>11/30/2020</w:t>
            </w:r>
          </w:p>
        </w:tc>
      </w:tr>
      <w:tr>
        <w:trPr>
          <w:trHeight w:val="878"/>
        </w:trPr>
        <w:tc>
          <w:tcPr>
            <w:tcW w:w="900" w:type="dxa"/>
            <w:vAlign w:val="bottom"/>
          </w:tcPr>
          <w:p>
            <w:pPr>
              <w:jc w:val="center"/>
              <w:ind w:right="395"/>
              <w:spacing w:after="0"/>
              <w:rPr>
                <w:sz w:val="20"/>
                <w:szCs w:val="20"/>
                <w:color w:val="auto"/>
              </w:rPr>
            </w:pPr>
            <w:r>
              <w:rPr>
                <w:rFonts w:ascii="Arial" w:cs="Arial" w:eastAsia="Arial" w:hAnsi="Arial"/>
                <w:sz w:val="17"/>
                <w:szCs w:val="17"/>
                <w:color w:val="auto"/>
                <w:w w:val="98"/>
              </w:rPr>
              <w:t>S-1/A</w:t>
            </w:r>
          </w:p>
        </w:tc>
        <w:tc>
          <w:tcPr>
            <w:tcW w:w="1820" w:type="dxa"/>
            <w:vAlign w:val="bottom"/>
          </w:tcPr>
          <w:p>
            <w:pPr>
              <w:jc w:val="right"/>
              <w:ind w:right="395"/>
              <w:spacing w:after="0"/>
              <w:rPr>
                <w:sz w:val="20"/>
                <w:szCs w:val="20"/>
                <w:color w:val="auto"/>
              </w:rPr>
            </w:pPr>
            <w:r>
              <w:rPr>
                <w:rFonts w:ascii="Arial" w:cs="Arial" w:eastAsia="Arial" w:hAnsi="Arial"/>
                <w:sz w:val="17"/>
                <w:szCs w:val="17"/>
                <w:color w:val="auto"/>
              </w:rPr>
              <w:t>333-250035</w:t>
            </w: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10.7</w:t>
            </w:r>
          </w:p>
        </w:tc>
        <w:tc>
          <w:tcPr>
            <w:tcW w:w="1260" w:type="dxa"/>
            <w:vAlign w:val="bottom"/>
          </w:tcPr>
          <w:p>
            <w:pPr>
              <w:jc w:val="right"/>
              <w:spacing w:after="0"/>
              <w:rPr>
                <w:sz w:val="20"/>
                <w:szCs w:val="20"/>
                <w:color w:val="auto"/>
              </w:rPr>
            </w:pPr>
            <w:r>
              <w:rPr>
                <w:rFonts w:ascii="Arial" w:cs="Arial" w:eastAsia="Arial" w:hAnsi="Arial"/>
                <w:sz w:val="17"/>
                <w:szCs w:val="17"/>
                <w:color w:val="auto"/>
              </w:rPr>
              <w:t>11/30/2020</w:t>
            </w:r>
          </w:p>
        </w:tc>
      </w:tr>
      <w:tr>
        <w:trPr>
          <w:trHeight w:val="877"/>
        </w:trPr>
        <w:tc>
          <w:tcPr>
            <w:tcW w:w="900" w:type="dxa"/>
            <w:vAlign w:val="bottom"/>
          </w:tcPr>
          <w:p>
            <w:pPr>
              <w:jc w:val="center"/>
              <w:ind w:right="395"/>
              <w:spacing w:after="0"/>
              <w:rPr>
                <w:sz w:val="20"/>
                <w:szCs w:val="20"/>
                <w:color w:val="auto"/>
              </w:rPr>
            </w:pPr>
            <w:r>
              <w:rPr>
                <w:rFonts w:ascii="Arial" w:cs="Arial" w:eastAsia="Arial" w:hAnsi="Arial"/>
                <w:sz w:val="17"/>
                <w:szCs w:val="17"/>
                <w:color w:val="auto"/>
                <w:w w:val="98"/>
              </w:rPr>
              <w:t>S-1/A</w:t>
            </w:r>
          </w:p>
        </w:tc>
        <w:tc>
          <w:tcPr>
            <w:tcW w:w="1820" w:type="dxa"/>
            <w:vAlign w:val="bottom"/>
          </w:tcPr>
          <w:p>
            <w:pPr>
              <w:jc w:val="right"/>
              <w:ind w:right="395"/>
              <w:spacing w:after="0"/>
              <w:rPr>
                <w:sz w:val="20"/>
                <w:szCs w:val="20"/>
                <w:color w:val="auto"/>
              </w:rPr>
            </w:pPr>
            <w:r>
              <w:rPr>
                <w:rFonts w:ascii="Arial" w:cs="Arial" w:eastAsia="Arial" w:hAnsi="Arial"/>
                <w:sz w:val="17"/>
                <w:szCs w:val="17"/>
                <w:color w:val="auto"/>
              </w:rPr>
              <w:t>333-250035</w:t>
            </w: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10.8</w:t>
            </w:r>
          </w:p>
        </w:tc>
        <w:tc>
          <w:tcPr>
            <w:tcW w:w="1260" w:type="dxa"/>
            <w:vAlign w:val="bottom"/>
          </w:tcPr>
          <w:p>
            <w:pPr>
              <w:jc w:val="right"/>
              <w:spacing w:after="0"/>
              <w:rPr>
                <w:sz w:val="20"/>
                <w:szCs w:val="20"/>
                <w:color w:val="auto"/>
              </w:rPr>
            </w:pPr>
            <w:r>
              <w:rPr>
                <w:rFonts w:ascii="Arial" w:cs="Arial" w:eastAsia="Arial" w:hAnsi="Arial"/>
                <w:sz w:val="17"/>
                <w:szCs w:val="17"/>
                <w:color w:val="auto"/>
              </w:rPr>
              <w:t>11/30/2020</w:t>
            </w:r>
          </w:p>
        </w:tc>
      </w:tr>
      <w:tr>
        <w:trPr>
          <w:trHeight w:val="675"/>
        </w:trPr>
        <w:tc>
          <w:tcPr>
            <w:tcW w:w="900" w:type="dxa"/>
            <w:vAlign w:val="bottom"/>
          </w:tcPr>
          <w:p>
            <w:pPr>
              <w:jc w:val="center"/>
              <w:ind w:right="395"/>
              <w:spacing w:after="0"/>
              <w:rPr>
                <w:sz w:val="20"/>
                <w:szCs w:val="20"/>
                <w:color w:val="auto"/>
              </w:rPr>
            </w:pPr>
            <w:r>
              <w:rPr>
                <w:rFonts w:ascii="Arial" w:cs="Arial" w:eastAsia="Arial" w:hAnsi="Arial"/>
                <w:sz w:val="17"/>
                <w:szCs w:val="17"/>
                <w:color w:val="auto"/>
                <w:w w:val="98"/>
              </w:rPr>
              <w:t>S-1/A</w:t>
            </w:r>
          </w:p>
        </w:tc>
        <w:tc>
          <w:tcPr>
            <w:tcW w:w="1820" w:type="dxa"/>
            <w:vAlign w:val="bottom"/>
          </w:tcPr>
          <w:p>
            <w:pPr>
              <w:jc w:val="right"/>
              <w:ind w:right="395"/>
              <w:spacing w:after="0"/>
              <w:rPr>
                <w:sz w:val="20"/>
                <w:szCs w:val="20"/>
                <w:color w:val="auto"/>
              </w:rPr>
            </w:pPr>
            <w:r>
              <w:rPr>
                <w:rFonts w:ascii="Arial" w:cs="Arial" w:eastAsia="Arial" w:hAnsi="Arial"/>
                <w:sz w:val="17"/>
                <w:szCs w:val="17"/>
                <w:color w:val="auto"/>
              </w:rPr>
              <w:t>333-250035</w:t>
            </w: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10.9</w:t>
            </w:r>
          </w:p>
        </w:tc>
        <w:tc>
          <w:tcPr>
            <w:tcW w:w="1260" w:type="dxa"/>
            <w:vAlign w:val="bottom"/>
          </w:tcPr>
          <w:p>
            <w:pPr>
              <w:jc w:val="right"/>
              <w:spacing w:after="0"/>
              <w:rPr>
                <w:sz w:val="20"/>
                <w:szCs w:val="20"/>
                <w:color w:val="auto"/>
              </w:rPr>
            </w:pPr>
            <w:r>
              <w:rPr>
                <w:rFonts w:ascii="Arial" w:cs="Arial" w:eastAsia="Arial" w:hAnsi="Arial"/>
                <w:sz w:val="17"/>
                <w:szCs w:val="17"/>
                <w:color w:val="auto"/>
              </w:rPr>
              <w:t>11/30/2020</w:t>
            </w:r>
          </w:p>
        </w:tc>
      </w:tr>
      <w:tr>
        <w:trPr>
          <w:trHeight w:val="675"/>
        </w:trPr>
        <w:tc>
          <w:tcPr>
            <w:tcW w:w="900" w:type="dxa"/>
            <w:vAlign w:val="bottom"/>
          </w:tcPr>
          <w:p>
            <w:pPr>
              <w:jc w:val="center"/>
              <w:ind w:right="395"/>
              <w:spacing w:after="0"/>
              <w:rPr>
                <w:sz w:val="20"/>
                <w:szCs w:val="20"/>
                <w:color w:val="auto"/>
              </w:rPr>
            </w:pPr>
            <w:r>
              <w:rPr>
                <w:rFonts w:ascii="Arial" w:cs="Arial" w:eastAsia="Arial" w:hAnsi="Arial"/>
                <w:sz w:val="17"/>
                <w:szCs w:val="17"/>
                <w:color w:val="auto"/>
                <w:w w:val="98"/>
              </w:rPr>
              <w:t>S-1/A</w:t>
            </w:r>
          </w:p>
        </w:tc>
        <w:tc>
          <w:tcPr>
            <w:tcW w:w="1820" w:type="dxa"/>
            <w:vAlign w:val="bottom"/>
          </w:tcPr>
          <w:p>
            <w:pPr>
              <w:jc w:val="right"/>
              <w:ind w:right="395"/>
              <w:spacing w:after="0"/>
              <w:rPr>
                <w:sz w:val="20"/>
                <w:szCs w:val="20"/>
                <w:color w:val="auto"/>
              </w:rPr>
            </w:pPr>
            <w:r>
              <w:rPr>
                <w:rFonts w:ascii="Arial" w:cs="Arial" w:eastAsia="Arial" w:hAnsi="Arial"/>
                <w:sz w:val="17"/>
                <w:szCs w:val="17"/>
                <w:color w:val="auto"/>
              </w:rPr>
              <w:t>333-250035</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10.10</w:t>
            </w:r>
          </w:p>
        </w:tc>
        <w:tc>
          <w:tcPr>
            <w:tcW w:w="1260" w:type="dxa"/>
            <w:vAlign w:val="bottom"/>
          </w:tcPr>
          <w:p>
            <w:pPr>
              <w:jc w:val="right"/>
              <w:spacing w:after="0"/>
              <w:rPr>
                <w:sz w:val="20"/>
                <w:szCs w:val="20"/>
                <w:color w:val="auto"/>
              </w:rPr>
            </w:pPr>
            <w:r>
              <w:rPr>
                <w:rFonts w:ascii="Arial" w:cs="Arial" w:eastAsia="Arial" w:hAnsi="Arial"/>
                <w:sz w:val="17"/>
                <w:szCs w:val="17"/>
                <w:color w:val="auto"/>
              </w:rPr>
              <w:t>11/30/2020</w:t>
            </w:r>
          </w:p>
        </w:tc>
      </w:tr>
      <w:tr>
        <w:trPr>
          <w:trHeight w:val="878"/>
        </w:trPr>
        <w:tc>
          <w:tcPr>
            <w:tcW w:w="900" w:type="dxa"/>
            <w:vAlign w:val="bottom"/>
          </w:tcPr>
          <w:p>
            <w:pPr>
              <w:jc w:val="center"/>
              <w:ind w:right="395"/>
              <w:spacing w:after="0"/>
              <w:rPr>
                <w:sz w:val="20"/>
                <w:szCs w:val="20"/>
                <w:color w:val="auto"/>
              </w:rPr>
            </w:pPr>
            <w:r>
              <w:rPr>
                <w:rFonts w:ascii="Arial" w:cs="Arial" w:eastAsia="Arial" w:hAnsi="Arial"/>
                <w:sz w:val="17"/>
                <w:szCs w:val="17"/>
                <w:color w:val="auto"/>
                <w:w w:val="98"/>
              </w:rPr>
              <w:t>S-1/A</w:t>
            </w:r>
          </w:p>
        </w:tc>
        <w:tc>
          <w:tcPr>
            <w:tcW w:w="1820" w:type="dxa"/>
            <w:vAlign w:val="bottom"/>
          </w:tcPr>
          <w:p>
            <w:pPr>
              <w:jc w:val="right"/>
              <w:ind w:right="395"/>
              <w:spacing w:after="0"/>
              <w:rPr>
                <w:sz w:val="20"/>
                <w:szCs w:val="20"/>
                <w:color w:val="auto"/>
              </w:rPr>
            </w:pPr>
            <w:r>
              <w:rPr>
                <w:rFonts w:ascii="Arial" w:cs="Arial" w:eastAsia="Arial" w:hAnsi="Arial"/>
                <w:sz w:val="17"/>
                <w:szCs w:val="17"/>
                <w:color w:val="auto"/>
              </w:rPr>
              <w:t>333-250035</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10.11</w:t>
            </w:r>
          </w:p>
        </w:tc>
        <w:tc>
          <w:tcPr>
            <w:tcW w:w="1260" w:type="dxa"/>
            <w:vAlign w:val="bottom"/>
          </w:tcPr>
          <w:p>
            <w:pPr>
              <w:jc w:val="right"/>
              <w:spacing w:after="0"/>
              <w:rPr>
                <w:sz w:val="20"/>
                <w:szCs w:val="20"/>
                <w:color w:val="auto"/>
              </w:rPr>
            </w:pPr>
            <w:r>
              <w:rPr>
                <w:rFonts w:ascii="Arial" w:cs="Arial" w:eastAsia="Arial" w:hAnsi="Arial"/>
                <w:sz w:val="17"/>
                <w:szCs w:val="17"/>
                <w:color w:val="auto"/>
              </w:rPr>
              <w:t>11/30/2020</w:t>
            </w:r>
          </w:p>
        </w:tc>
      </w:tr>
      <w:tr>
        <w:trPr>
          <w:trHeight w:val="472"/>
        </w:trPr>
        <w:tc>
          <w:tcPr>
            <w:tcW w:w="900" w:type="dxa"/>
            <w:vAlign w:val="bottom"/>
          </w:tcPr>
          <w:p>
            <w:pPr>
              <w:jc w:val="center"/>
              <w:ind w:right="395"/>
              <w:spacing w:after="0"/>
              <w:rPr>
                <w:sz w:val="20"/>
                <w:szCs w:val="20"/>
                <w:color w:val="auto"/>
              </w:rPr>
            </w:pPr>
            <w:r>
              <w:rPr>
                <w:rFonts w:ascii="Arial" w:cs="Arial" w:eastAsia="Arial" w:hAnsi="Arial"/>
                <w:sz w:val="17"/>
                <w:szCs w:val="17"/>
                <w:color w:val="auto"/>
                <w:w w:val="98"/>
              </w:rPr>
              <w:t>S-1/A</w:t>
            </w:r>
          </w:p>
        </w:tc>
        <w:tc>
          <w:tcPr>
            <w:tcW w:w="1820" w:type="dxa"/>
            <w:vAlign w:val="bottom"/>
          </w:tcPr>
          <w:p>
            <w:pPr>
              <w:jc w:val="right"/>
              <w:ind w:right="395"/>
              <w:spacing w:after="0"/>
              <w:rPr>
                <w:sz w:val="20"/>
                <w:szCs w:val="20"/>
                <w:color w:val="auto"/>
              </w:rPr>
            </w:pPr>
            <w:r>
              <w:rPr>
                <w:rFonts w:ascii="Arial" w:cs="Arial" w:eastAsia="Arial" w:hAnsi="Arial"/>
                <w:sz w:val="17"/>
                <w:szCs w:val="17"/>
                <w:color w:val="auto"/>
              </w:rPr>
              <w:t>333-250035</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10.12</w:t>
            </w:r>
          </w:p>
        </w:tc>
        <w:tc>
          <w:tcPr>
            <w:tcW w:w="1260" w:type="dxa"/>
            <w:vAlign w:val="bottom"/>
          </w:tcPr>
          <w:p>
            <w:pPr>
              <w:jc w:val="right"/>
              <w:spacing w:after="0"/>
              <w:rPr>
                <w:sz w:val="20"/>
                <w:szCs w:val="20"/>
                <w:color w:val="auto"/>
              </w:rPr>
            </w:pPr>
            <w:r>
              <w:rPr>
                <w:rFonts w:ascii="Arial" w:cs="Arial" w:eastAsia="Arial" w:hAnsi="Arial"/>
                <w:sz w:val="17"/>
                <w:szCs w:val="17"/>
                <w:color w:val="auto"/>
              </w:rPr>
              <w:t>11/30/2020</w:t>
            </w:r>
          </w:p>
        </w:tc>
      </w:tr>
      <w:tr>
        <w:trPr>
          <w:trHeight w:val="473"/>
        </w:trPr>
        <w:tc>
          <w:tcPr>
            <w:tcW w:w="900" w:type="dxa"/>
            <w:vAlign w:val="bottom"/>
          </w:tcPr>
          <w:p>
            <w:pPr>
              <w:jc w:val="center"/>
              <w:ind w:right="415"/>
              <w:spacing w:after="0"/>
              <w:rPr>
                <w:sz w:val="20"/>
                <w:szCs w:val="20"/>
                <w:color w:val="auto"/>
              </w:rPr>
            </w:pPr>
            <w:r>
              <w:rPr>
                <w:rFonts w:ascii="Arial" w:cs="Arial" w:eastAsia="Arial" w:hAnsi="Arial"/>
                <w:sz w:val="17"/>
                <w:szCs w:val="17"/>
                <w:color w:val="auto"/>
                <w:w w:val="90"/>
              </w:rPr>
              <w:t>S-1</w:t>
            </w:r>
          </w:p>
        </w:tc>
        <w:tc>
          <w:tcPr>
            <w:tcW w:w="1820" w:type="dxa"/>
            <w:vAlign w:val="bottom"/>
          </w:tcPr>
          <w:p>
            <w:pPr>
              <w:jc w:val="right"/>
              <w:ind w:right="395"/>
              <w:spacing w:after="0"/>
              <w:rPr>
                <w:sz w:val="20"/>
                <w:szCs w:val="20"/>
                <w:color w:val="auto"/>
              </w:rPr>
            </w:pPr>
            <w:r>
              <w:rPr>
                <w:rFonts w:ascii="Arial" w:cs="Arial" w:eastAsia="Arial" w:hAnsi="Arial"/>
                <w:sz w:val="17"/>
                <w:szCs w:val="17"/>
                <w:color w:val="auto"/>
              </w:rPr>
              <w:t>333-250035</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10.14</w:t>
            </w:r>
          </w:p>
        </w:tc>
        <w:tc>
          <w:tcPr>
            <w:tcW w:w="1260" w:type="dxa"/>
            <w:vAlign w:val="bottom"/>
          </w:tcPr>
          <w:p>
            <w:pPr>
              <w:jc w:val="right"/>
              <w:spacing w:after="0"/>
              <w:rPr>
                <w:sz w:val="20"/>
                <w:szCs w:val="20"/>
                <w:color w:val="auto"/>
              </w:rPr>
            </w:pPr>
            <w:r>
              <w:rPr>
                <w:rFonts w:ascii="Arial" w:cs="Arial" w:eastAsia="Arial" w:hAnsi="Arial"/>
                <w:sz w:val="17"/>
                <w:szCs w:val="17"/>
                <w:color w:val="auto"/>
              </w:rPr>
              <w:t>11/12/2020</w:t>
            </w:r>
          </w:p>
        </w:tc>
      </w:tr>
      <w:tr>
        <w:trPr>
          <w:trHeight w:val="715"/>
        </w:trPr>
        <w:tc>
          <w:tcPr>
            <w:tcW w:w="900" w:type="dxa"/>
            <w:vAlign w:val="bottom"/>
          </w:tcPr>
          <w:p>
            <w:pPr>
              <w:jc w:val="center"/>
              <w:ind w:right="415"/>
              <w:spacing w:after="0"/>
              <w:rPr>
                <w:sz w:val="20"/>
                <w:szCs w:val="20"/>
                <w:color w:val="auto"/>
              </w:rPr>
            </w:pPr>
            <w:r>
              <w:rPr>
                <w:rFonts w:ascii="Arial" w:cs="Arial" w:eastAsia="Arial" w:hAnsi="Arial"/>
                <w:sz w:val="17"/>
                <w:szCs w:val="17"/>
                <w:color w:val="auto"/>
                <w:w w:val="90"/>
              </w:rPr>
              <w:t>S-1</w:t>
            </w:r>
          </w:p>
        </w:tc>
        <w:tc>
          <w:tcPr>
            <w:tcW w:w="1820" w:type="dxa"/>
            <w:vAlign w:val="bottom"/>
          </w:tcPr>
          <w:p>
            <w:pPr>
              <w:jc w:val="right"/>
              <w:ind w:right="395"/>
              <w:spacing w:after="0"/>
              <w:rPr>
                <w:sz w:val="20"/>
                <w:szCs w:val="20"/>
                <w:color w:val="auto"/>
              </w:rPr>
            </w:pPr>
            <w:r>
              <w:rPr>
                <w:rFonts w:ascii="Arial" w:cs="Arial" w:eastAsia="Arial" w:hAnsi="Arial"/>
                <w:sz w:val="17"/>
                <w:szCs w:val="17"/>
                <w:color w:val="auto"/>
              </w:rPr>
              <w:t>333-250035</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10.15</w:t>
            </w:r>
          </w:p>
        </w:tc>
        <w:tc>
          <w:tcPr>
            <w:tcW w:w="1260" w:type="dxa"/>
            <w:vAlign w:val="bottom"/>
          </w:tcPr>
          <w:p>
            <w:pPr>
              <w:jc w:val="right"/>
              <w:spacing w:after="0"/>
              <w:rPr>
                <w:sz w:val="20"/>
                <w:szCs w:val="20"/>
                <w:color w:val="auto"/>
              </w:rPr>
            </w:pPr>
            <w:r>
              <w:rPr>
                <w:rFonts w:ascii="Arial" w:cs="Arial" w:eastAsia="Arial" w:hAnsi="Arial"/>
                <w:sz w:val="17"/>
                <w:szCs w:val="17"/>
                <w:color w:val="auto"/>
              </w:rPr>
              <w:t>11/12/2020</w:t>
            </w:r>
          </w:p>
        </w:tc>
      </w:tr>
    </w:tbl>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56" w:lineRule="exact"/>
        <w:rPr>
          <w:rFonts w:ascii="Arial" w:cs="Arial" w:eastAsia="Arial" w:hAnsi="Arial"/>
          <w:sz w:val="16"/>
          <w:szCs w:val="16"/>
          <w:u w:val="single" w:color="auto"/>
          <w:color w:val="0000FF"/>
        </w:rPr>
      </w:pPr>
    </w:p>
    <w:p>
      <w:pPr>
        <w:ind w:left="340"/>
        <w:spacing w:after="0"/>
        <w:rPr>
          <w:sz w:val="20"/>
          <w:szCs w:val="20"/>
          <w:color w:val="auto"/>
        </w:rPr>
      </w:pPr>
      <w:r>
        <w:rPr>
          <w:rFonts w:ascii="Arial" w:cs="Arial" w:eastAsia="Arial" w:hAnsi="Arial"/>
          <w:sz w:val="18"/>
          <w:szCs w:val="18"/>
          <w:color w:val="auto"/>
        </w:rPr>
        <w:t>128</w:t>
      </w:r>
    </w:p>
    <w:p>
      <w:pPr>
        <w:sectPr>
          <w:pgSz w:w="11900" w:h="16838" w:orient="portrait"/>
          <w:cols w:equalWidth="0" w:num="2">
            <w:col w:w="4300" w:space="580"/>
            <w:col w:w="5340"/>
          </w:cols>
          <w:pgMar w:left="580" w:top="1440" w:right="1099" w:bottom="1440" w:gutter="0" w:footer="0" w:header="0"/>
        </w:sectPr>
      </w:pPr>
    </w:p>
    <w:bookmarkStart w:id="133" w:name="page134"/>
    <w:bookmarkEnd w:id="133"/>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0" w:type="dxa"/>
            <w:vAlign w:val="bottom"/>
          </w:tcPr>
          <w:p>
            <w:pPr>
              <w:jc w:val="center"/>
              <w:ind w:right="195"/>
              <w:spacing w:after="0"/>
              <w:rPr>
                <w:sz w:val="20"/>
                <w:szCs w:val="20"/>
                <w:color w:val="auto"/>
              </w:rPr>
            </w:pPr>
            <w:r>
              <w:rPr>
                <w:rFonts w:ascii="Arial" w:cs="Arial" w:eastAsia="Arial" w:hAnsi="Arial"/>
                <w:sz w:val="17"/>
                <w:szCs w:val="17"/>
                <w:color w:val="auto"/>
                <w:w w:val="93"/>
              </w:rPr>
              <w:t>10.15</w:t>
            </w:r>
          </w:p>
        </w:tc>
        <w:tc>
          <w:tcPr>
            <w:tcW w:w="3800" w:type="dxa"/>
            <w:vAlign w:val="bottom"/>
            <w:gridSpan w:val="18"/>
          </w:tcPr>
          <w:p>
            <w:pPr>
              <w:spacing w:after="0"/>
              <w:rPr>
                <w:rFonts w:ascii="Arial" w:cs="Arial" w:eastAsia="Arial" w:hAnsi="Arial"/>
                <w:sz w:val="17"/>
                <w:szCs w:val="17"/>
                <w:color w:val="0000FF"/>
              </w:rPr>
            </w:pPr>
            <w:hyperlink r:id="rId59">
              <w:r>
                <w:rPr>
                  <w:rFonts w:ascii="Arial" w:cs="Arial" w:eastAsia="Arial" w:hAnsi="Arial"/>
                  <w:sz w:val="17"/>
                  <w:szCs w:val="17"/>
                  <w:color w:val="0000FF"/>
                </w:rPr>
                <w:t>Class A Common Stock Purchase Agreement by</w:t>
              </w:r>
            </w:hyperlink>
          </w:p>
        </w:tc>
        <w:tc>
          <w:tcPr>
            <w:tcW w:w="1100" w:type="dxa"/>
            <w:vAlign w:val="bottom"/>
          </w:tcPr>
          <w:p>
            <w:pPr>
              <w:ind w:left="320"/>
              <w:spacing w:after="0"/>
              <w:rPr>
                <w:sz w:val="20"/>
                <w:szCs w:val="20"/>
                <w:color w:val="auto"/>
              </w:rPr>
            </w:pPr>
            <w:r>
              <w:rPr>
                <w:rFonts w:ascii="Arial" w:cs="Arial" w:eastAsia="Arial" w:hAnsi="Arial"/>
                <w:sz w:val="17"/>
                <w:szCs w:val="17"/>
                <w:color w:val="auto"/>
              </w:rPr>
              <w:t>S-1</w:t>
            </w:r>
          </w:p>
        </w:tc>
        <w:tc>
          <w:tcPr>
            <w:tcW w:w="1860" w:type="dxa"/>
            <w:vAlign w:val="bottom"/>
          </w:tcPr>
          <w:p>
            <w:pPr>
              <w:jc w:val="right"/>
              <w:ind w:right="395"/>
              <w:spacing w:after="0"/>
              <w:rPr>
                <w:sz w:val="20"/>
                <w:szCs w:val="20"/>
                <w:color w:val="auto"/>
              </w:rPr>
            </w:pPr>
            <w:r>
              <w:rPr>
                <w:rFonts w:ascii="Arial" w:cs="Arial" w:eastAsia="Arial" w:hAnsi="Arial"/>
                <w:sz w:val="17"/>
                <w:szCs w:val="17"/>
                <w:color w:val="auto"/>
              </w:rPr>
              <w:t>333-250035</w:t>
            </w:r>
          </w:p>
        </w:tc>
        <w:tc>
          <w:tcPr>
            <w:tcW w:w="1360" w:type="dxa"/>
            <w:vAlign w:val="bottom"/>
          </w:tcPr>
          <w:p>
            <w:pPr>
              <w:jc w:val="right"/>
              <w:ind w:right="415"/>
              <w:spacing w:after="0"/>
              <w:rPr>
                <w:sz w:val="20"/>
                <w:szCs w:val="20"/>
                <w:color w:val="auto"/>
              </w:rPr>
            </w:pPr>
            <w:r>
              <w:rPr>
                <w:rFonts w:ascii="Arial" w:cs="Arial" w:eastAsia="Arial" w:hAnsi="Arial"/>
                <w:sz w:val="17"/>
                <w:szCs w:val="17"/>
                <w:color w:val="auto"/>
              </w:rPr>
              <w:t>10.15</w:t>
            </w:r>
          </w:p>
        </w:tc>
        <w:tc>
          <w:tcPr>
            <w:tcW w:w="1260" w:type="dxa"/>
            <w:vAlign w:val="bottom"/>
          </w:tcPr>
          <w:p>
            <w:pPr>
              <w:jc w:val="center"/>
              <w:ind w:left="395"/>
              <w:spacing w:after="0"/>
              <w:rPr>
                <w:sz w:val="20"/>
                <w:szCs w:val="20"/>
                <w:color w:val="auto"/>
              </w:rPr>
            </w:pPr>
            <w:r>
              <w:rPr>
                <w:rFonts w:ascii="Arial" w:cs="Arial" w:eastAsia="Arial" w:hAnsi="Arial"/>
                <w:sz w:val="17"/>
                <w:szCs w:val="17"/>
                <w:color w:val="auto"/>
                <w:w w:val="91"/>
              </w:rPr>
              <w:t>11/12/2020</w:t>
            </w:r>
          </w:p>
        </w:tc>
      </w:tr>
      <w:tr>
        <w:trPr>
          <w:trHeight w:val="142"/>
        </w:trPr>
        <w:tc>
          <w:tcPr>
            <w:tcW w:w="920" w:type="dxa"/>
            <w:vAlign w:val="bottom"/>
          </w:tcPr>
          <w:p>
            <w:pPr>
              <w:spacing w:after="0"/>
              <w:rPr>
                <w:sz w:val="12"/>
                <w:szCs w:val="12"/>
                <w:color w:val="auto"/>
              </w:rPr>
            </w:pPr>
          </w:p>
        </w:tc>
        <w:tc>
          <w:tcPr>
            <w:tcW w:w="3320" w:type="dxa"/>
            <w:vAlign w:val="bottom"/>
            <w:tcBorders>
              <w:top w:val="single" w:sz="8" w:color="0000FF"/>
            </w:tcBorders>
            <w:gridSpan w:val="10"/>
          </w:tcPr>
          <w:p>
            <w:pPr>
              <w:spacing w:after="0" w:line="142" w:lineRule="exact"/>
              <w:rPr>
                <w:rFonts w:ascii="Arial" w:cs="Arial" w:eastAsia="Arial" w:hAnsi="Arial"/>
                <w:sz w:val="16"/>
                <w:szCs w:val="16"/>
                <w:color w:val="0000FF"/>
                <w:w w:val="96"/>
              </w:rPr>
            </w:pPr>
            <w:hyperlink r:id="rId59">
              <w:r>
                <w:rPr>
                  <w:rFonts w:ascii="Arial" w:cs="Arial" w:eastAsia="Arial" w:hAnsi="Arial"/>
                  <w:sz w:val="16"/>
                  <w:szCs w:val="16"/>
                  <w:color w:val="0000FF"/>
                  <w:w w:val="96"/>
                </w:rPr>
                <w:t>and among the Registrant, Fidelity Management</w:t>
              </w:r>
            </w:hyperlink>
          </w:p>
        </w:tc>
        <w:tc>
          <w:tcPr>
            <w:tcW w:w="180" w:type="dxa"/>
            <w:vAlign w:val="bottom"/>
            <w:gridSpan w:val="6"/>
          </w:tcPr>
          <w:p>
            <w:pPr>
              <w:jc w:val="right"/>
              <w:ind w:right="20"/>
              <w:spacing w:after="0" w:line="142" w:lineRule="exact"/>
              <w:rPr>
                <w:rFonts w:ascii="Arial" w:cs="Arial" w:eastAsia="Arial" w:hAnsi="Arial"/>
                <w:sz w:val="16"/>
                <w:szCs w:val="16"/>
                <w:color w:val="0000FF"/>
              </w:rPr>
            </w:pPr>
            <w:hyperlink r:id="rId59">
              <w:r>
                <w:rPr>
                  <w:rFonts w:ascii="Arial" w:cs="Arial" w:eastAsia="Arial" w:hAnsi="Arial"/>
                  <w:sz w:val="16"/>
                  <w:szCs w:val="16"/>
                  <w:color w:val="0000FF"/>
                </w:rPr>
                <w:t>&amp;</w:t>
              </w:r>
            </w:hyperlink>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3480" w:type="dxa"/>
            <w:vAlign w:val="bottom"/>
            <w:tcBorders>
              <w:top w:val="single" w:sz="8" w:color="0000FF"/>
            </w:tcBorders>
            <w:gridSpan w:val="15"/>
          </w:tcPr>
          <w:p>
            <w:pPr>
              <w:spacing w:after="0" w:line="142" w:lineRule="exact"/>
              <w:rPr>
                <w:rFonts w:ascii="Arial" w:cs="Arial" w:eastAsia="Arial" w:hAnsi="Arial"/>
                <w:sz w:val="16"/>
                <w:szCs w:val="16"/>
                <w:color w:val="0000FF"/>
                <w:w w:val="98"/>
              </w:rPr>
            </w:pPr>
            <w:hyperlink r:id="rId59">
              <w:r>
                <w:rPr>
                  <w:rFonts w:ascii="Arial" w:cs="Arial" w:eastAsia="Arial" w:hAnsi="Arial"/>
                  <w:sz w:val="16"/>
                  <w:szCs w:val="16"/>
                  <w:color w:val="0000FF"/>
                  <w:w w:val="98"/>
                </w:rPr>
                <w:t>Research Company LLC, SoftBank, certain funds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340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w w:val="92"/>
              </w:rPr>
            </w:pPr>
            <w:hyperlink r:id="rId59">
              <w:r>
                <w:rPr>
                  <w:rFonts w:ascii="Arial" w:cs="Arial" w:eastAsia="Arial" w:hAnsi="Arial"/>
                  <w:sz w:val="16"/>
                  <w:szCs w:val="16"/>
                  <w:color w:val="0000FF"/>
                  <w:w w:val="92"/>
                </w:rPr>
                <w:t>and accounts advised by T. Rowe Price Associates,</w:t>
              </w:r>
            </w:hyperlink>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3520" w:type="dxa"/>
            <w:vAlign w:val="bottom"/>
            <w:gridSpan w:val="17"/>
          </w:tcPr>
          <w:p>
            <w:pPr>
              <w:spacing w:after="0" w:line="142" w:lineRule="exact"/>
              <w:rPr>
                <w:rFonts w:ascii="Arial" w:cs="Arial" w:eastAsia="Arial" w:hAnsi="Arial"/>
                <w:sz w:val="16"/>
                <w:szCs w:val="16"/>
                <w:color w:val="0000FF"/>
              </w:rPr>
            </w:pPr>
            <w:hyperlink r:id="rId59">
              <w:r>
                <w:rPr>
                  <w:rFonts w:ascii="Arial" w:cs="Arial" w:eastAsia="Arial" w:hAnsi="Arial"/>
                  <w:sz w:val="16"/>
                  <w:szCs w:val="16"/>
                  <w:color w:val="0000FF"/>
                </w:rPr>
                <w:t>Inc. and aMoon Fund, dated as of November 12,</w:t>
              </w:r>
            </w:hyperlink>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3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9"/>
              </w:rPr>
            </w:pPr>
            <w:hyperlink r:id="rId59">
              <w:r>
                <w:rPr>
                  <w:rFonts w:ascii="Arial" w:cs="Arial" w:eastAsia="Arial" w:hAnsi="Arial"/>
                  <w:sz w:val="16"/>
                  <w:szCs w:val="16"/>
                  <w:color w:val="0000FF"/>
                  <w:w w:val="89"/>
                </w:rPr>
                <w:t>2020.</w:t>
              </w:r>
            </w:hyperlink>
          </w:p>
        </w:tc>
        <w:tc>
          <w:tcPr>
            <w:tcW w:w="180" w:type="dxa"/>
            <w:vAlign w:val="bottom"/>
            <w:tcBorders>
              <w:top w:val="single" w:sz="8" w:color="0000FF"/>
            </w:tcBorders>
          </w:tcPr>
          <w:p>
            <w:pPr>
              <w:spacing w:after="0"/>
              <w:rPr>
                <w:sz w:val="12"/>
                <w:szCs w:val="12"/>
                <w:color w:val="auto"/>
              </w:rPr>
            </w:pPr>
          </w:p>
        </w:tc>
        <w:tc>
          <w:tcPr>
            <w:tcW w:w="1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63"/>
        </w:trPr>
        <w:tc>
          <w:tcPr>
            <w:tcW w:w="920" w:type="dxa"/>
            <w:vAlign w:val="bottom"/>
          </w:tcPr>
          <w:p>
            <w:pPr>
              <w:jc w:val="center"/>
              <w:ind w:right="175"/>
              <w:spacing w:after="0"/>
              <w:rPr>
                <w:sz w:val="20"/>
                <w:szCs w:val="20"/>
                <w:color w:val="auto"/>
              </w:rPr>
            </w:pPr>
            <w:r>
              <w:rPr>
                <w:rFonts w:ascii="Arial" w:cs="Arial" w:eastAsia="Arial" w:hAnsi="Arial"/>
                <w:sz w:val="17"/>
                <w:szCs w:val="17"/>
                <w:color w:val="auto"/>
                <w:w w:val="90"/>
              </w:rPr>
              <w:t>21.1</w:t>
            </w:r>
          </w:p>
        </w:tc>
        <w:tc>
          <w:tcPr>
            <w:tcW w:w="3800" w:type="dxa"/>
            <w:vAlign w:val="bottom"/>
            <w:gridSpan w:val="18"/>
          </w:tcPr>
          <w:p>
            <w:pPr>
              <w:spacing w:after="0"/>
              <w:rPr>
                <w:rFonts w:ascii="Arial" w:cs="Arial" w:eastAsia="Arial" w:hAnsi="Arial"/>
                <w:sz w:val="17"/>
                <w:szCs w:val="17"/>
                <w:color w:val="0000FF"/>
              </w:rPr>
            </w:pPr>
            <w:hyperlink r:id="rId60">
              <w:r>
                <w:rPr>
                  <w:rFonts w:ascii="Arial" w:cs="Arial" w:eastAsia="Arial" w:hAnsi="Arial"/>
                  <w:sz w:val="17"/>
                  <w:szCs w:val="17"/>
                  <w:color w:val="0000FF"/>
                </w:rPr>
                <w:t>List of Subsidiaries of the Registrant.</w:t>
              </w:r>
            </w:hyperlink>
          </w:p>
        </w:tc>
        <w:tc>
          <w:tcPr>
            <w:tcW w:w="1100" w:type="dxa"/>
            <w:vAlign w:val="bottom"/>
          </w:tcPr>
          <w:p>
            <w:pPr>
              <w:ind w:left="320"/>
              <w:spacing w:after="0"/>
              <w:rPr>
                <w:sz w:val="20"/>
                <w:szCs w:val="20"/>
                <w:color w:val="auto"/>
              </w:rPr>
            </w:pPr>
            <w:r>
              <w:rPr>
                <w:rFonts w:ascii="Arial" w:cs="Arial" w:eastAsia="Arial" w:hAnsi="Arial"/>
                <w:sz w:val="17"/>
                <w:szCs w:val="17"/>
                <w:color w:val="auto"/>
              </w:rPr>
              <w:t>S-1</w:t>
            </w:r>
          </w:p>
        </w:tc>
        <w:tc>
          <w:tcPr>
            <w:tcW w:w="1860" w:type="dxa"/>
            <w:vAlign w:val="bottom"/>
          </w:tcPr>
          <w:p>
            <w:pPr>
              <w:jc w:val="right"/>
              <w:ind w:right="395"/>
              <w:spacing w:after="0"/>
              <w:rPr>
                <w:sz w:val="20"/>
                <w:szCs w:val="20"/>
                <w:color w:val="auto"/>
              </w:rPr>
            </w:pPr>
            <w:r>
              <w:rPr>
                <w:rFonts w:ascii="Arial" w:cs="Arial" w:eastAsia="Arial" w:hAnsi="Arial"/>
                <w:sz w:val="17"/>
                <w:szCs w:val="17"/>
                <w:color w:val="auto"/>
              </w:rPr>
              <w:t>333-252395</w:t>
            </w:r>
          </w:p>
        </w:tc>
        <w:tc>
          <w:tcPr>
            <w:tcW w:w="1360" w:type="dxa"/>
            <w:vAlign w:val="bottom"/>
          </w:tcPr>
          <w:p>
            <w:pPr>
              <w:jc w:val="right"/>
              <w:ind w:right="495"/>
              <w:spacing w:after="0"/>
              <w:rPr>
                <w:sz w:val="20"/>
                <w:szCs w:val="20"/>
                <w:color w:val="auto"/>
              </w:rPr>
            </w:pPr>
            <w:r>
              <w:rPr>
                <w:rFonts w:ascii="Arial" w:cs="Arial" w:eastAsia="Arial" w:hAnsi="Arial"/>
                <w:sz w:val="17"/>
                <w:szCs w:val="17"/>
                <w:color w:val="auto"/>
              </w:rPr>
              <w:t>4.2</w:t>
            </w:r>
          </w:p>
        </w:tc>
        <w:tc>
          <w:tcPr>
            <w:tcW w:w="1260" w:type="dxa"/>
            <w:vAlign w:val="bottom"/>
          </w:tcPr>
          <w:p>
            <w:pPr>
              <w:jc w:val="center"/>
              <w:ind w:left="395"/>
              <w:spacing w:after="0"/>
              <w:rPr>
                <w:sz w:val="20"/>
                <w:szCs w:val="20"/>
                <w:color w:val="auto"/>
              </w:rPr>
            </w:pPr>
            <w:r>
              <w:rPr>
                <w:rFonts w:ascii="Arial" w:cs="Arial" w:eastAsia="Arial" w:hAnsi="Arial"/>
                <w:sz w:val="17"/>
                <w:szCs w:val="17"/>
                <w:color w:val="auto"/>
                <w:w w:val="92"/>
              </w:rPr>
              <w:t>1/25/2021</w:t>
            </w: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53"/>
        </w:trPr>
        <w:tc>
          <w:tcPr>
            <w:tcW w:w="920" w:type="dxa"/>
            <w:vAlign w:val="bottom"/>
          </w:tcPr>
          <w:p>
            <w:pPr>
              <w:jc w:val="center"/>
              <w:ind w:right="175"/>
              <w:spacing w:after="0"/>
              <w:rPr>
                <w:sz w:val="20"/>
                <w:szCs w:val="20"/>
                <w:color w:val="auto"/>
              </w:rPr>
            </w:pPr>
            <w:r>
              <w:rPr>
                <w:rFonts w:ascii="Arial" w:cs="Arial" w:eastAsia="Arial" w:hAnsi="Arial"/>
                <w:sz w:val="17"/>
                <w:szCs w:val="17"/>
                <w:color w:val="auto"/>
                <w:w w:val="90"/>
              </w:rPr>
              <w:t>23.1</w:t>
            </w:r>
          </w:p>
        </w:tc>
        <w:tc>
          <w:tcPr>
            <w:tcW w:w="3300" w:type="dxa"/>
            <w:vAlign w:val="bottom"/>
            <w:tcBorders>
              <w:bottom w:val="single" w:sz="8" w:color="0000FF"/>
            </w:tcBorders>
            <w:gridSpan w:val="9"/>
          </w:tcPr>
          <w:p>
            <w:pPr>
              <w:spacing w:after="0"/>
              <w:rPr>
                <w:rFonts w:ascii="Arial" w:cs="Arial" w:eastAsia="Arial" w:hAnsi="Arial"/>
                <w:sz w:val="17"/>
                <w:szCs w:val="17"/>
                <w:color w:val="0000FF"/>
                <w:w w:val="91"/>
              </w:rPr>
            </w:pPr>
            <w:hyperlink w:anchor="page144">
              <w:r>
                <w:rPr>
                  <w:rFonts w:ascii="Arial" w:cs="Arial" w:eastAsia="Arial" w:hAnsi="Arial"/>
                  <w:sz w:val="17"/>
                  <w:szCs w:val="17"/>
                  <w:color w:val="0000FF"/>
                  <w:w w:val="91"/>
                </w:rPr>
                <w:t>Consent of Deloitte &amp; Touche LLP, independent</w:t>
              </w:r>
            </w:hyperlink>
          </w:p>
        </w:tc>
        <w:tc>
          <w:tcPr>
            <w:tcW w:w="500" w:type="dxa"/>
            <w:vAlign w:val="bottom"/>
            <w:gridSpan w:val="9"/>
          </w:tcPr>
          <w:p>
            <w:pPr>
              <w:spacing w:after="0"/>
              <w:rPr>
                <w:sz w:val="24"/>
                <w:szCs w:val="24"/>
                <w:color w:val="auto"/>
              </w:rPr>
            </w:pPr>
          </w:p>
        </w:tc>
        <w:tc>
          <w:tcPr>
            <w:tcW w:w="1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jc w:val="center"/>
              <w:ind w:left="395"/>
              <w:spacing w:after="0"/>
              <w:rPr>
                <w:sz w:val="20"/>
                <w:szCs w:val="20"/>
                <w:color w:val="auto"/>
              </w:rPr>
            </w:pPr>
            <w:r>
              <w:rPr>
                <w:rFonts w:ascii="Arial" w:cs="Arial" w:eastAsia="Arial" w:hAnsi="Arial"/>
                <w:sz w:val="17"/>
                <w:szCs w:val="17"/>
                <w:color w:val="auto"/>
              </w:rPr>
              <w:t>*</w:t>
            </w:r>
          </w:p>
        </w:tc>
      </w:tr>
      <w:tr>
        <w:trPr>
          <w:trHeight w:val="183"/>
        </w:trPr>
        <w:tc>
          <w:tcPr>
            <w:tcW w:w="920" w:type="dxa"/>
            <w:vAlign w:val="bottom"/>
          </w:tcPr>
          <w:p>
            <w:pPr>
              <w:spacing w:after="0"/>
              <w:rPr>
                <w:sz w:val="15"/>
                <w:szCs w:val="15"/>
                <w:color w:val="auto"/>
              </w:rPr>
            </w:pPr>
          </w:p>
        </w:tc>
        <w:tc>
          <w:tcPr>
            <w:tcW w:w="3800" w:type="dxa"/>
            <w:vAlign w:val="bottom"/>
            <w:gridSpan w:val="18"/>
          </w:tcPr>
          <w:p>
            <w:pPr>
              <w:spacing w:after="0" w:line="183" w:lineRule="exact"/>
              <w:rPr>
                <w:rFonts w:ascii="Arial" w:cs="Arial" w:eastAsia="Arial" w:hAnsi="Arial"/>
                <w:sz w:val="17"/>
                <w:szCs w:val="17"/>
                <w:color w:val="0000FF"/>
              </w:rPr>
            </w:pPr>
            <w:hyperlink w:anchor="page144">
              <w:r>
                <w:rPr>
                  <w:rFonts w:ascii="Arial" w:cs="Arial" w:eastAsia="Arial" w:hAnsi="Arial"/>
                  <w:sz w:val="17"/>
                  <w:szCs w:val="17"/>
                  <w:color w:val="0000FF"/>
                </w:rPr>
                <w:t>registered public accounting firm.</w:t>
              </w:r>
            </w:hyperlink>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53"/>
        </w:trPr>
        <w:tc>
          <w:tcPr>
            <w:tcW w:w="920" w:type="dxa"/>
            <w:vAlign w:val="bottom"/>
          </w:tcPr>
          <w:p>
            <w:pPr>
              <w:jc w:val="center"/>
              <w:ind w:right="195"/>
              <w:spacing w:after="0"/>
              <w:rPr>
                <w:sz w:val="20"/>
                <w:szCs w:val="20"/>
                <w:color w:val="auto"/>
              </w:rPr>
            </w:pPr>
            <w:r>
              <w:rPr>
                <w:rFonts w:ascii="Arial" w:cs="Arial" w:eastAsia="Arial" w:hAnsi="Arial"/>
                <w:sz w:val="17"/>
                <w:szCs w:val="17"/>
                <w:color w:val="auto"/>
                <w:w w:val="93"/>
              </w:rPr>
              <w:t>31.1†</w:t>
            </w:r>
          </w:p>
        </w:tc>
        <w:tc>
          <w:tcPr>
            <w:tcW w:w="2960" w:type="dxa"/>
            <w:vAlign w:val="bottom"/>
            <w:tcBorders>
              <w:bottom w:val="single" w:sz="8" w:color="0000FF"/>
            </w:tcBorders>
            <w:gridSpan w:val="7"/>
          </w:tcPr>
          <w:p>
            <w:pPr>
              <w:spacing w:after="0"/>
              <w:rPr>
                <w:rFonts w:ascii="Arial" w:cs="Arial" w:eastAsia="Arial" w:hAnsi="Arial"/>
                <w:sz w:val="17"/>
                <w:szCs w:val="17"/>
                <w:color w:val="0000FF"/>
                <w:w w:val="94"/>
              </w:rPr>
            </w:pPr>
            <w:hyperlink w:anchor="page145">
              <w:r>
                <w:rPr>
                  <w:rFonts w:ascii="Arial" w:cs="Arial" w:eastAsia="Arial" w:hAnsi="Arial"/>
                  <w:sz w:val="17"/>
                  <w:szCs w:val="17"/>
                  <w:color w:val="0000FF"/>
                  <w:w w:val="94"/>
                </w:rPr>
                <w:t>Certification of Principal Executive Officer</w:t>
              </w:r>
            </w:hyperlink>
          </w:p>
        </w:tc>
        <w:tc>
          <w:tcPr>
            <w:tcW w:w="840" w:type="dxa"/>
            <w:vAlign w:val="bottom"/>
            <w:gridSpan w:val="11"/>
          </w:tcPr>
          <w:p>
            <w:pPr>
              <w:spacing w:after="0"/>
              <w:rPr>
                <w:sz w:val="24"/>
                <w:szCs w:val="24"/>
                <w:color w:val="auto"/>
              </w:rPr>
            </w:pPr>
          </w:p>
        </w:tc>
        <w:tc>
          <w:tcPr>
            <w:tcW w:w="1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jc w:val="center"/>
              <w:ind w:left="395"/>
              <w:spacing w:after="0"/>
              <w:rPr>
                <w:sz w:val="20"/>
                <w:szCs w:val="20"/>
                <w:color w:val="auto"/>
              </w:rPr>
            </w:pPr>
            <w:r>
              <w:rPr>
                <w:rFonts w:ascii="Arial" w:cs="Arial" w:eastAsia="Arial" w:hAnsi="Arial"/>
                <w:sz w:val="17"/>
                <w:szCs w:val="17"/>
                <w:color w:val="auto"/>
              </w:rPr>
              <w:t>*</w:t>
            </w:r>
          </w:p>
        </w:tc>
      </w:tr>
      <w:tr>
        <w:trPr>
          <w:trHeight w:val="183"/>
        </w:trPr>
        <w:tc>
          <w:tcPr>
            <w:tcW w:w="920" w:type="dxa"/>
            <w:vAlign w:val="bottom"/>
          </w:tcPr>
          <w:p>
            <w:pPr>
              <w:spacing w:after="0"/>
              <w:rPr>
                <w:sz w:val="15"/>
                <w:szCs w:val="15"/>
                <w:color w:val="auto"/>
              </w:rPr>
            </w:pPr>
          </w:p>
        </w:tc>
        <w:tc>
          <w:tcPr>
            <w:tcW w:w="3800" w:type="dxa"/>
            <w:vAlign w:val="bottom"/>
            <w:gridSpan w:val="18"/>
          </w:tcPr>
          <w:p>
            <w:pPr>
              <w:spacing w:after="0" w:line="183" w:lineRule="exact"/>
              <w:rPr>
                <w:rFonts w:ascii="Arial" w:cs="Arial" w:eastAsia="Arial" w:hAnsi="Arial"/>
                <w:sz w:val="17"/>
                <w:szCs w:val="17"/>
                <w:color w:val="0000FF"/>
              </w:rPr>
            </w:pPr>
            <w:hyperlink w:anchor="page145">
              <w:r>
                <w:rPr>
                  <w:rFonts w:ascii="Arial" w:cs="Arial" w:eastAsia="Arial" w:hAnsi="Arial"/>
                  <w:sz w:val="17"/>
                  <w:szCs w:val="17"/>
                  <w:color w:val="0000FF"/>
                </w:rPr>
                <w:t>Pursuant to Rules 13a-14(a) and 15d-14(a) under</w:t>
              </w:r>
            </w:hyperlink>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3360" w:type="dxa"/>
            <w:vAlign w:val="bottom"/>
            <w:tcBorders>
              <w:bottom w:val="single" w:sz="8" w:color="0000FF"/>
            </w:tcBorders>
            <w:gridSpan w:val="12"/>
          </w:tcPr>
          <w:p>
            <w:pPr>
              <w:spacing w:after="0" w:line="183" w:lineRule="exact"/>
              <w:rPr>
                <w:rFonts w:ascii="Arial" w:cs="Arial" w:eastAsia="Arial" w:hAnsi="Arial"/>
                <w:sz w:val="17"/>
                <w:szCs w:val="17"/>
                <w:color w:val="0000FF"/>
                <w:w w:val="90"/>
              </w:rPr>
            </w:pPr>
            <w:hyperlink w:anchor="page145">
              <w:r>
                <w:rPr>
                  <w:rFonts w:ascii="Arial" w:cs="Arial" w:eastAsia="Arial" w:hAnsi="Arial"/>
                  <w:sz w:val="17"/>
                  <w:szCs w:val="17"/>
                  <w:color w:val="0000FF"/>
                  <w:w w:val="90"/>
                </w:rPr>
                <w:t>the Securities Exchange Act of 1934, as Adopted</w:t>
              </w:r>
            </w:hyperlink>
          </w:p>
        </w:tc>
        <w:tc>
          <w:tcPr>
            <w:tcW w:w="440" w:type="dxa"/>
            <w:vAlign w:val="bottom"/>
            <w:gridSpan w:val="6"/>
          </w:tcPr>
          <w:p>
            <w:pPr>
              <w:spacing w:after="0"/>
              <w:rPr>
                <w:sz w:val="15"/>
                <w:szCs w:val="15"/>
                <w:color w:val="auto"/>
              </w:rPr>
            </w:pP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500" w:type="dxa"/>
            <w:vAlign w:val="bottom"/>
            <w:tcBorders>
              <w:bottom w:val="single" w:sz="8" w:color="0000FF"/>
            </w:tcBorders>
            <w:gridSpan w:val="16"/>
          </w:tcPr>
          <w:p>
            <w:pPr>
              <w:spacing w:after="0" w:line="183" w:lineRule="exact"/>
              <w:rPr>
                <w:rFonts w:ascii="Arial" w:cs="Arial" w:eastAsia="Arial" w:hAnsi="Arial"/>
                <w:sz w:val="17"/>
                <w:szCs w:val="17"/>
                <w:color w:val="0000FF"/>
                <w:w w:val="90"/>
              </w:rPr>
            </w:pPr>
            <w:hyperlink w:anchor="page145">
              <w:r>
                <w:rPr>
                  <w:rFonts w:ascii="Arial" w:cs="Arial" w:eastAsia="Arial" w:hAnsi="Arial"/>
                  <w:sz w:val="17"/>
                  <w:szCs w:val="17"/>
                  <w:color w:val="0000FF"/>
                  <w:w w:val="90"/>
                </w:rPr>
                <w:t>Pursuant to Section 302 of the Sarbanes-Oxley Act</w:t>
              </w:r>
            </w:hyperlink>
          </w:p>
        </w:tc>
        <w:tc>
          <w:tcPr>
            <w:tcW w:w="300" w:type="dxa"/>
            <w:vAlign w:val="bottom"/>
            <w:gridSpan w:val="2"/>
          </w:tcPr>
          <w:p>
            <w:pPr>
              <w:spacing w:after="0"/>
              <w:rPr>
                <w:sz w:val="15"/>
                <w:szCs w:val="15"/>
                <w:color w:val="auto"/>
              </w:rPr>
            </w:pP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800" w:type="dxa"/>
            <w:vAlign w:val="bottom"/>
            <w:gridSpan w:val="18"/>
          </w:tcPr>
          <w:p>
            <w:pPr>
              <w:spacing w:after="0" w:line="183" w:lineRule="exact"/>
              <w:rPr>
                <w:rFonts w:ascii="Arial" w:cs="Arial" w:eastAsia="Arial" w:hAnsi="Arial"/>
                <w:sz w:val="17"/>
                <w:szCs w:val="17"/>
                <w:color w:val="0000FF"/>
              </w:rPr>
            </w:pPr>
            <w:hyperlink w:anchor="page145">
              <w:r>
                <w:rPr>
                  <w:rFonts w:ascii="Arial" w:cs="Arial" w:eastAsia="Arial" w:hAnsi="Arial"/>
                  <w:sz w:val="17"/>
                  <w:szCs w:val="17"/>
                  <w:color w:val="0000FF"/>
                </w:rPr>
                <w:t>of 2002.</w:t>
              </w:r>
            </w:hyperlink>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52"/>
        </w:trPr>
        <w:tc>
          <w:tcPr>
            <w:tcW w:w="920" w:type="dxa"/>
            <w:vAlign w:val="bottom"/>
          </w:tcPr>
          <w:p>
            <w:pPr>
              <w:jc w:val="center"/>
              <w:ind w:right="195"/>
              <w:spacing w:after="0"/>
              <w:rPr>
                <w:sz w:val="20"/>
                <w:szCs w:val="20"/>
                <w:color w:val="auto"/>
              </w:rPr>
            </w:pPr>
            <w:r>
              <w:rPr>
                <w:rFonts w:ascii="Arial" w:cs="Arial" w:eastAsia="Arial" w:hAnsi="Arial"/>
                <w:sz w:val="17"/>
                <w:szCs w:val="17"/>
                <w:color w:val="auto"/>
                <w:w w:val="93"/>
              </w:rPr>
              <w:t>31.2†</w:t>
            </w:r>
          </w:p>
        </w:tc>
        <w:tc>
          <w:tcPr>
            <w:tcW w:w="2920" w:type="dxa"/>
            <w:vAlign w:val="bottom"/>
            <w:tcBorders>
              <w:bottom w:val="single" w:sz="8" w:color="0000FF"/>
            </w:tcBorders>
            <w:gridSpan w:val="6"/>
          </w:tcPr>
          <w:p>
            <w:pPr>
              <w:spacing w:after="0"/>
              <w:rPr>
                <w:rFonts w:ascii="Arial" w:cs="Arial" w:eastAsia="Arial" w:hAnsi="Arial"/>
                <w:sz w:val="17"/>
                <w:szCs w:val="17"/>
                <w:color w:val="0000FF"/>
                <w:w w:val="94"/>
              </w:rPr>
            </w:pPr>
            <w:hyperlink w:anchor="page146">
              <w:r>
                <w:rPr>
                  <w:rFonts w:ascii="Arial" w:cs="Arial" w:eastAsia="Arial" w:hAnsi="Arial"/>
                  <w:sz w:val="17"/>
                  <w:szCs w:val="17"/>
                  <w:color w:val="0000FF"/>
                  <w:w w:val="94"/>
                </w:rPr>
                <w:t>Certification of Principal Financial Officer</w:t>
              </w:r>
            </w:hyperlink>
          </w:p>
        </w:tc>
        <w:tc>
          <w:tcPr>
            <w:tcW w:w="880" w:type="dxa"/>
            <w:vAlign w:val="bottom"/>
            <w:gridSpan w:val="12"/>
          </w:tcPr>
          <w:p>
            <w:pPr>
              <w:spacing w:after="0"/>
              <w:rPr>
                <w:sz w:val="24"/>
                <w:szCs w:val="24"/>
                <w:color w:val="auto"/>
              </w:rPr>
            </w:pPr>
          </w:p>
        </w:tc>
        <w:tc>
          <w:tcPr>
            <w:tcW w:w="1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jc w:val="center"/>
              <w:ind w:left="395"/>
              <w:spacing w:after="0"/>
              <w:rPr>
                <w:sz w:val="20"/>
                <w:szCs w:val="20"/>
                <w:color w:val="auto"/>
              </w:rPr>
            </w:pPr>
            <w:r>
              <w:rPr>
                <w:rFonts w:ascii="Arial" w:cs="Arial" w:eastAsia="Arial" w:hAnsi="Arial"/>
                <w:sz w:val="17"/>
                <w:szCs w:val="17"/>
                <w:color w:val="auto"/>
              </w:rPr>
              <w:t>*</w:t>
            </w:r>
          </w:p>
        </w:tc>
      </w:tr>
      <w:tr>
        <w:trPr>
          <w:trHeight w:val="183"/>
        </w:trPr>
        <w:tc>
          <w:tcPr>
            <w:tcW w:w="920" w:type="dxa"/>
            <w:vAlign w:val="bottom"/>
          </w:tcPr>
          <w:p>
            <w:pPr>
              <w:spacing w:after="0"/>
              <w:rPr>
                <w:sz w:val="15"/>
                <w:szCs w:val="15"/>
                <w:color w:val="auto"/>
              </w:rPr>
            </w:pPr>
          </w:p>
        </w:tc>
        <w:tc>
          <w:tcPr>
            <w:tcW w:w="3800" w:type="dxa"/>
            <w:vAlign w:val="bottom"/>
            <w:gridSpan w:val="18"/>
          </w:tcPr>
          <w:p>
            <w:pPr>
              <w:spacing w:after="0" w:line="183" w:lineRule="exact"/>
              <w:rPr>
                <w:rFonts w:ascii="Arial" w:cs="Arial" w:eastAsia="Arial" w:hAnsi="Arial"/>
                <w:sz w:val="17"/>
                <w:szCs w:val="17"/>
                <w:color w:val="0000FF"/>
              </w:rPr>
            </w:pPr>
            <w:hyperlink w:anchor="page146">
              <w:r>
                <w:rPr>
                  <w:rFonts w:ascii="Arial" w:cs="Arial" w:eastAsia="Arial" w:hAnsi="Arial"/>
                  <w:sz w:val="17"/>
                  <w:szCs w:val="17"/>
                  <w:color w:val="0000FF"/>
                </w:rPr>
                <w:t>Pursuant to Rules 13a-14(a) and 15d-14(a) under</w:t>
              </w:r>
            </w:hyperlink>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3360" w:type="dxa"/>
            <w:vAlign w:val="bottom"/>
            <w:tcBorders>
              <w:bottom w:val="single" w:sz="8" w:color="0000FF"/>
            </w:tcBorders>
            <w:gridSpan w:val="12"/>
          </w:tcPr>
          <w:p>
            <w:pPr>
              <w:spacing w:after="0" w:line="183" w:lineRule="exact"/>
              <w:rPr>
                <w:rFonts w:ascii="Arial" w:cs="Arial" w:eastAsia="Arial" w:hAnsi="Arial"/>
                <w:sz w:val="17"/>
                <w:szCs w:val="17"/>
                <w:color w:val="0000FF"/>
                <w:w w:val="90"/>
              </w:rPr>
            </w:pPr>
            <w:hyperlink w:anchor="page146">
              <w:r>
                <w:rPr>
                  <w:rFonts w:ascii="Arial" w:cs="Arial" w:eastAsia="Arial" w:hAnsi="Arial"/>
                  <w:sz w:val="17"/>
                  <w:szCs w:val="17"/>
                  <w:color w:val="0000FF"/>
                  <w:w w:val="90"/>
                </w:rPr>
                <w:t>the Securities Exchange Act of 1934, as Adopted</w:t>
              </w:r>
            </w:hyperlink>
          </w:p>
        </w:tc>
        <w:tc>
          <w:tcPr>
            <w:tcW w:w="440" w:type="dxa"/>
            <w:vAlign w:val="bottom"/>
            <w:gridSpan w:val="6"/>
          </w:tcPr>
          <w:p>
            <w:pPr>
              <w:spacing w:after="0"/>
              <w:rPr>
                <w:sz w:val="15"/>
                <w:szCs w:val="15"/>
                <w:color w:val="auto"/>
              </w:rPr>
            </w:pP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500" w:type="dxa"/>
            <w:vAlign w:val="bottom"/>
            <w:tcBorders>
              <w:bottom w:val="single" w:sz="8" w:color="0000FF"/>
            </w:tcBorders>
            <w:gridSpan w:val="16"/>
          </w:tcPr>
          <w:p>
            <w:pPr>
              <w:spacing w:after="0" w:line="183" w:lineRule="exact"/>
              <w:rPr>
                <w:rFonts w:ascii="Arial" w:cs="Arial" w:eastAsia="Arial" w:hAnsi="Arial"/>
                <w:sz w:val="17"/>
                <w:szCs w:val="17"/>
                <w:color w:val="0000FF"/>
                <w:w w:val="90"/>
              </w:rPr>
            </w:pPr>
            <w:hyperlink w:anchor="page146">
              <w:r>
                <w:rPr>
                  <w:rFonts w:ascii="Arial" w:cs="Arial" w:eastAsia="Arial" w:hAnsi="Arial"/>
                  <w:sz w:val="17"/>
                  <w:szCs w:val="17"/>
                  <w:color w:val="0000FF"/>
                  <w:w w:val="90"/>
                </w:rPr>
                <w:t>Pursuant to Section 302 of the Sarbanes-Oxley Act</w:t>
              </w:r>
            </w:hyperlink>
          </w:p>
        </w:tc>
        <w:tc>
          <w:tcPr>
            <w:tcW w:w="300" w:type="dxa"/>
            <w:vAlign w:val="bottom"/>
            <w:gridSpan w:val="2"/>
          </w:tcPr>
          <w:p>
            <w:pPr>
              <w:spacing w:after="0"/>
              <w:rPr>
                <w:sz w:val="15"/>
                <w:szCs w:val="15"/>
                <w:color w:val="auto"/>
              </w:rPr>
            </w:pP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800" w:type="dxa"/>
            <w:vAlign w:val="bottom"/>
            <w:gridSpan w:val="18"/>
          </w:tcPr>
          <w:p>
            <w:pPr>
              <w:spacing w:after="0" w:line="183" w:lineRule="exact"/>
              <w:rPr>
                <w:rFonts w:ascii="Arial" w:cs="Arial" w:eastAsia="Arial" w:hAnsi="Arial"/>
                <w:sz w:val="17"/>
                <w:szCs w:val="17"/>
                <w:color w:val="0000FF"/>
              </w:rPr>
            </w:pPr>
            <w:hyperlink w:anchor="page146">
              <w:r>
                <w:rPr>
                  <w:rFonts w:ascii="Arial" w:cs="Arial" w:eastAsia="Arial" w:hAnsi="Arial"/>
                  <w:sz w:val="17"/>
                  <w:szCs w:val="17"/>
                  <w:color w:val="0000FF"/>
                </w:rPr>
                <w:t>of 2002.</w:t>
              </w:r>
            </w:hyperlink>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52"/>
        </w:trPr>
        <w:tc>
          <w:tcPr>
            <w:tcW w:w="920" w:type="dxa"/>
            <w:vAlign w:val="bottom"/>
          </w:tcPr>
          <w:p>
            <w:pPr>
              <w:jc w:val="center"/>
              <w:ind w:right="195"/>
              <w:spacing w:after="0"/>
              <w:rPr>
                <w:sz w:val="20"/>
                <w:szCs w:val="20"/>
                <w:color w:val="auto"/>
              </w:rPr>
            </w:pPr>
            <w:r>
              <w:rPr>
                <w:rFonts w:ascii="Arial" w:cs="Arial" w:eastAsia="Arial" w:hAnsi="Arial"/>
                <w:sz w:val="17"/>
                <w:szCs w:val="17"/>
                <w:color w:val="auto"/>
                <w:w w:val="93"/>
              </w:rPr>
              <w:t>32.1†</w:t>
            </w:r>
          </w:p>
        </w:tc>
        <w:tc>
          <w:tcPr>
            <w:tcW w:w="3800" w:type="dxa"/>
            <w:vAlign w:val="bottom"/>
            <w:gridSpan w:val="18"/>
          </w:tcPr>
          <w:p>
            <w:pPr>
              <w:spacing w:after="0"/>
              <w:rPr>
                <w:rFonts w:ascii="Arial" w:cs="Arial" w:eastAsia="Arial" w:hAnsi="Arial"/>
                <w:sz w:val="17"/>
                <w:szCs w:val="17"/>
                <w:color w:val="0000FF"/>
              </w:rPr>
            </w:pPr>
            <w:hyperlink w:anchor="page147">
              <w:r>
                <w:rPr>
                  <w:rFonts w:ascii="Arial" w:cs="Arial" w:eastAsia="Arial" w:hAnsi="Arial"/>
                  <w:sz w:val="17"/>
                  <w:szCs w:val="17"/>
                  <w:color w:val="0000FF"/>
                </w:rPr>
                <w:t>Certification of Principal Executive Officer and</w:t>
              </w:r>
            </w:hyperlink>
          </w:p>
        </w:tc>
        <w:tc>
          <w:tcPr>
            <w:tcW w:w="1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jc w:val="center"/>
              <w:ind w:left="395"/>
              <w:spacing w:after="0"/>
              <w:rPr>
                <w:sz w:val="20"/>
                <w:szCs w:val="20"/>
                <w:color w:val="auto"/>
              </w:rPr>
            </w:pPr>
            <w:r>
              <w:rPr>
                <w:rFonts w:ascii="Arial" w:cs="Arial" w:eastAsia="Arial" w:hAnsi="Arial"/>
                <w:sz w:val="17"/>
                <w:szCs w:val="17"/>
                <w:color w:val="auto"/>
              </w:rPr>
              <w:t>*</w:t>
            </w:r>
          </w:p>
        </w:tc>
      </w:tr>
      <w:tr>
        <w:trPr>
          <w:trHeight w:val="20"/>
        </w:trPr>
        <w:tc>
          <w:tcPr>
            <w:tcW w:w="920" w:type="dxa"/>
            <w:vAlign w:val="bottom"/>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3360" w:type="dxa"/>
            <w:vAlign w:val="bottom"/>
            <w:tcBorders>
              <w:bottom w:val="single" w:sz="8" w:color="0000FF"/>
            </w:tcBorders>
            <w:gridSpan w:val="12"/>
          </w:tcPr>
          <w:p>
            <w:pPr>
              <w:spacing w:after="0" w:line="183" w:lineRule="exact"/>
              <w:rPr>
                <w:rFonts w:ascii="Arial" w:cs="Arial" w:eastAsia="Arial" w:hAnsi="Arial"/>
                <w:sz w:val="17"/>
                <w:szCs w:val="17"/>
                <w:color w:val="0000FF"/>
                <w:w w:val="92"/>
              </w:rPr>
            </w:pPr>
            <w:hyperlink w:anchor="page147">
              <w:r>
                <w:rPr>
                  <w:rFonts w:ascii="Arial" w:cs="Arial" w:eastAsia="Arial" w:hAnsi="Arial"/>
                  <w:sz w:val="17"/>
                  <w:szCs w:val="17"/>
                  <w:color w:val="0000FF"/>
                  <w:w w:val="92"/>
                </w:rPr>
                <w:t>Principal Financial Officer Pursuant to 18 U.S.C.</w:t>
              </w:r>
            </w:hyperlink>
          </w:p>
        </w:tc>
        <w:tc>
          <w:tcPr>
            <w:tcW w:w="440" w:type="dxa"/>
            <w:vAlign w:val="bottom"/>
            <w:gridSpan w:val="6"/>
          </w:tcPr>
          <w:p>
            <w:pPr>
              <w:spacing w:after="0"/>
              <w:rPr>
                <w:sz w:val="15"/>
                <w:szCs w:val="15"/>
                <w:color w:val="auto"/>
              </w:rPr>
            </w:pP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420" w:type="dxa"/>
            <w:vAlign w:val="bottom"/>
            <w:tcBorders>
              <w:bottom w:val="single" w:sz="8" w:color="0000FF"/>
            </w:tcBorders>
            <w:gridSpan w:val="14"/>
          </w:tcPr>
          <w:p>
            <w:pPr>
              <w:spacing w:after="0" w:line="183" w:lineRule="exact"/>
              <w:rPr>
                <w:rFonts w:ascii="Arial" w:cs="Arial" w:eastAsia="Arial" w:hAnsi="Arial"/>
                <w:sz w:val="17"/>
                <w:szCs w:val="17"/>
                <w:color w:val="0000FF"/>
                <w:w w:val="89"/>
              </w:rPr>
            </w:pPr>
            <w:hyperlink w:anchor="page147">
              <w:r>
                <w:rPr>
                  <w:rFonts w:ascii="Arial" w:cs="Arial" w:eastAsia="Arial" w:hAnsi="Arial"/>
                  <w:sz w:val="17"/>
                  <w:szCs w:val="17"/>
                  <w:color w:val="0000FF"/>
                  <w:w w:val="89"/>
                </w:rPr>
                <w:t>Section 1350, as Adopted Pursuant to Section 906</w:t>
              </w:r>
            </w:hyperlink>
          </w:p>
        </w:tc>
        <w:tc>
          <w:tcPr>
            <w:tcW w:w="380" w:type="dxa"/>
            <w:vAlign w:val="bottom"/>
            <w:gridSpan w:val="4"/>
          </w:tcPr>
          <w:p>
            <w:pPr>
              <w:spacing w:after="0"/>
              <w:rPr>
                <w:sz w:val="15"/>
                <w:szCs w:val="15"/>
                <w:color w:val="auto"/>
              </w:rPr>
            </w:pP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800" w:type="dxa"/>
            <w:vAlign w:val="bottom"/>
            <w:gridSpan w:val="18"/>
          </w:tcPr>
          <w:p>
            <w:pPr>
              <w:spacing w:after="0" w:line="183" w:lineRule="exact"/>
              <w:rPr>
                <w:rFonts w:ascii="Arial" w:cs="Arial" w:eastAsia="Arial" w:hAnsi="Arial"/>
                <w:sz w:val="17"/>
                <w:szCs w:val="17"/>
                <w:color w:val="0000FF"/>
              </w:rPr>
            </w:pPr>
            <w:hyperlink w:anchor="page147">
              <w:r>
                <w:rPr>
                  <w:rFonts w:ascii="Arial" w:cs="Arial" w:eastAsia="Arial" w:hAnsi="Arial"/>
                  <w:sz w:val="17"/>
                  <w:szCs w:val="17"/>
                  <w:color w:val="0000FF"/>
                </w:rPr>
                <w:t>of the Sarbanes-Oxley Act of 2002.</w:t>
              </w:r>
            </w:hyperlink>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489"/>
        </w:trPr>
        <w:tc>
          <w:tcPr>
            <w:tcW w:w="920" w:type="dxa"/>
            <w:vAlign w:val="bottom"/>
          </w:tcPr>
          <w:p>
            <w:pPr>
              <w:jc w:val="center"/>
              <w:ind w:right="195"/>
              <w:spacing w:after="0"/>
              <w:rPr>
                <w:sz w:val="20"/>
                <w:szCs w:val="20"/>
                <w:color w:val="auto"/>
              </w:rPr>
            </w:pPr>
            <w:r>
              <w:rPr>
                <w:rFonts w:ascii="Arial" w:cs="Arial" w:eastAsia="Arial" w:hAnsi="Arial"/>
                <w:sz w:val="17"/>
                <w:szCs w:val="17"/>
                <w:color w:val="auto"/>
                <w:w w:val="91"/>
              </w:rPr>
              <w:t>101.INS</w:t>
            </w:r>
          </w:p>
        </w:tc>
        <w:tc>
          <w:tcPr>
            <w:tcW w:w="242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auto"/>
              </w:rPr>
              <w:t>XBRL Instance Document</w:t>
            </w:r>
          </w:p>
        </w:tc>
        <w:tc>
          <w:tcPr>
            <w:tcW w:w="1380" w:type="dxa"/>
            <w:vAlign w:val="bottom"/>
            <w:gridSpan w:val="14"/>
          </w:tcPr>
          <w:p>
            <w:pPr>
              <w:spacing w:after="0"/>
              <w:rPr>
                <w:sz w:val="24"/>
                <w:szCs w:val="24"/>
                <w:color w:val="auto"/>
              </w:rPr>
            </w:pPr>
          </w:p>
        </w:tc>
        <w:tc>
          <w:tcPr>
            <w:tcW w:w="1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0"/>
        </w:trPr>
        <w:tc>
          <w:tcPr>
            <w:tcW w:w="920" w:type="dxa"/>
            <w:vAlign w:val="bottom"/>
          </w:tcPr>
          <w:p>
            <w:pPr>
              <w:jc w:val="center"/>
              <w:ind w:right="195"/>
              <w:spacing w:after="0"/>
              <w:rPr>
                <w:sz w:val="20"/>
                <w:szCs w:val="20"/>
                <w:color w:val="auto"/>
              </w:rPr>
            </w:pPr>
            <w:r>
              <w:rPr>
                <w:rFonts w:ascii="Arial" w:cs="Arial" w:eastAsia="Arial" w:hAnsi="Arial"/>
                <w:sz w:val="17"/>
                <w:szCs w:val="17"/>
                <w:color w:val="auto"/>
                <w:w w:val="92"/>
              </w:rPr>
              <w:t>101.SCH</w:t>
            </w:r>
          </w:p>
        </w:tc>
        <w:tc>
          <w:tcPr>
            <w:tcW w:w="3800" w:type="dxa"/>
            <w:vAlign w:val="bottom"/>
            <w:gridSpan w:val="18"/>
          </w:tcPr>
          <w:p>
            <w:pPr>
              <w:spacing w:after="0"/>
              <w:rPr>
                <w:sz w:val="20"/>
                <w:szCs w:val="20"/>
                <w:color w:val="auto"/>
              </w:rPr>
            </w:pPr>
            <w:r>
              <w:rPr>
                <w:rFonts w:ascii="Arial" w:cs="Arial" w:eastAsia="Arial" w:hAnsi="Arial"/>
                <w:sz w:val="17"/>
                <w:szCs w:val="17"/>
                <w:color w:val="auto"/>
              </w:rPr>
              <w:t>XBRL Taxonomy Extension Schema Document</w:t>
            </w:r>
          </w:p>
        </w:tc>
        <w:tc>
          <w:tcPr>
            <w:tcW w:w="1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7"/>
        </w:trPr>
        <w:tc>
          <w:tcPr>
            <w:tcW w:w="920" w:type="dxa"/>
            <w:vAlign w:val="bottom"/>
          </w:tcPr>
          <w:p>
            <w:pPr>
              <w:jc w:val="center"/>
              <w:ind w:right="195"/>
              <w:spacing w:after="0"/>
              <w:rPr>
                <w:sz w:val="20"/>
                <w:szCs w:val="20"/>
                <w:color w:val="auto"/>
              </w:rPr>
            </w:pPr>
            <w:r>
              <w:rPr>
                <w:rFonts w:ascii="Arial" w:cs="Arial" w:eastAsia="Arial" w:hAnsi="Arial"/>
                <w:sz w:val="17"/>
                <w:szCs w:val="17"/>
                <w:color w:val="auto"/>
                <w:w w:val="96"/>
              </w:rPr>
              <w:t>101.CAL</w:t>
            </w:r>
          </w:p>
        </w:tc>
        <w:tc>
          <w:tcPr>
            <w:tcW w:w="3800" w:type="dxa"/>
            <w:vAlign w:val="bottom"/>
            <w:gridSpan w:val="18"/>
          </w:tcPr>
          <w:p>
            <w:pPr>
              <w:spacing w:after="0"/>
              <w:rPr>
                <w:sz w:val="20"/>
                <w:szCs w:val="20"/>
                <w:color w:val="auto"/>
              </w:rPr>
            </w:pPr>
            <w:r>
              <w:rPr>
                <w:rFonts w:ascii="Arial" w:cs="Arial" w:eastAsia="Arial" w:hAnsi="Arial"/>
                <w:sz w:val="17"/>
                <w:szCs w:val="17"/>
                <w:color w:val="auto"/>
              </w:rPr>
              <w:t>XBRL Taxonomy Extension Calculation Linkbase</w:t>
            </w:r>
          </w:p>
        </w:tc>
        <w:tc>
          <w:tcPr>
            <w:tcW w:w="1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3800" w:type="dxa"/>
            <w:vAlign w:val="bottom"/>
            <w:gridSpan w:val="18"/>
          </w:tcPr>
          <w:p>
            <w:pPr>
              <w:spacing w:after="0"/>
              <w:rPr>
                <w:sz w:val="20"/>
                <w:szCs w:val="20"/>
                <w:color w:val="auto"/>
              </w:rPr>
            </w:pPr>
            <w:r>
              <w:rPr>
                <w:rFonts w:ascii="Arial" w:cs="Arial" w:eastAsia="Arial" w:hAnsi="Arial"/>
                <w:sz w:val="17"/>
                <w:szCs w:val="17"/>
                <w:color w:val="auto"/>
              </w:rPr>
              <w:t>Document</w:t>
            </w:r>
          </w:p>
        </w:tc>
        <w:tc>
          <w:tcPr>
            <w:tcW w:w="1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300"/>
          </w:cols>
          <w:pgMar w:left="500" w:top="1440" w:right="1099" w:bottom="1440" w:gutter="0" w:footer="0" w:header="0"/>
        </w:sectPr>
      </w:pPr>
    </w:p>
    <w:bookmarkStart w:id="134" w:name="page135"/>
    <w:bookmarkEnd w:id="134"/>
    <w:p>
      <w:pPr>
        <w:spacing w:after="0" w:line="248"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780" w:type="dxa"/>
            <w:vAlign w:val="bottom"/>
          </w:tcPr>
          <w:p>
            <w:pPr>
              <w:spacing w:after="0"/>
              <w:rPr>
                <w:sz w:val="20"/>
                <w:szCs w:val="20"/>
                <w:color w:val="auto"/>
              </w:rPr>
            </w:pPr>
            <w:r>
              <w:rPr>
                <w:rFonts w:ascii="Arial" w:cs="Arial" w:eastAsia="Arial" w:hAnsi="Arial"/>
                <w:sz w:val="17"/>
                <w:szCs w:val="17"/>
                <w:color w:val="auto"/>
              </w:rPr>
              <w:t>101.DEF</w:t>
            </w:r>
          </w:p>
        </w:tc>
        <w:tc>
          <w:tcPr>
            <w:tcW w:w="3640" w:type="dxa"/>
            <w:vAlign w:val="bottom"/>
          </w:tcPr>
          <w:p>
            <w:pPr>
              <w:ind w:left="140"/>
              <w:spacing w:after="0"/>
              <w:rPr>
                <w:sz w:val="20"/>
                <w:szCs w:val="20"/>
                <w:color w:val="auto"/>
              </w:rPr>
            </w:pPr>
            <w:r>
              <w:rPr>
                <w:rFonts w:ascii="Arial" w:cs="Arial" w:eastAsia="Arial" w:hAnsi="Arial"/>
                <w:sz w:val="17"/>
                <w:szCs w:val="17"/>
                <w:color w:val="auto"/>
                <w:w w:val="97"/>
              </w:rPr>
              <w:t>XBRL Taxonomy Extension Definition Linkbase</w:t>
            </w:r>
          </w:p>
        </w:tc>
      </w:tr>
      <w:tr>
        <w:trPr>
          <w:trHeight w:val="216"/>
        </w:trPr>
        <w:tc>
          <w:tcPr>
            <w:tcW w:w="780" w:type="dxa"/>
            <w:vAlign w:val="bottom"/>
          </w:tcPr>
          <w:p>
            <w:pPr>
              <w:spacing w:after="0"/>
              <w:rPr>
                <w:sz w:val="18"/>
                <w:szCs w:val="18"/>
                <w:color w:val="auto"/>
              </w:rPr>
            </w:pPr>
          </w:p>
        </w:tc>
        <w:tc>
          <w:tcPr>
            <w:tcW w:w="3640" w:type="dxa"/>
            <w:vAlign w:val="bottom"/>
          </w:tcPr>
          <w:p>
            <w:pPr>
              <w:ind w:left="140"/>
              <w:spacing w:after="0"/>
              <w:rPr>
                <w:sz w:val="20"/>
                <w:szCs w:val="20"/>
                <w:color w:val="auto"/>
              </w:rPr>
            </w:pPr>
            <w:r>
              <w:rPr>
                <w:rFonts w:ascii="Arial" w:cs="Arial" w:eastAsia="Arial" w:hAnsi="Arial"/>
                <w:sz w:val="17"/>
                <w:szCs w:val="17"/>
                <w:color w:val="auto"/>
              </w:rPr>
              <w:t>Document</w:t>
            </w:r>
          </w:p>
        </w:tc>
      </w:tr>
      <w:tr>
        <w:trPr>
          <w:trHeight w:val="297"/>
        </w:trPr>
        <w:tc>
          <w:tcPr>
            <w:tcW w:w="780" w:type="dxa"/>
            <w:vAlign w:val="bottom"/>
          </w:tcPr>
          <w:p>
            <w:pPr>
              <w:spacing w:after="0"/>
              <w:rPr>
                <w:sz w:val="20"/>
                <w:szCs w:val="20"/>
                <w:color w:val="auto"/>
              </w:rPr>
            </w:pPr>
            <w:r>
              <w:rPr>
                <w:rFonts w:ascii="Arial" w:cs="Arial" w:eastAsia="Arial" w:hAnsi="Arial"/>
                <w:sz w:val="17"/>
                <w:szCs w:val="17"/>
                <w:color w:val="auto"/>
              </w:rPr>
              <w:t>101.LAB</w:t>
            </w:r>
          </w:p>
        </w:tc>
        <w:tc>
          <w:tcPr>
            <w:tcW w:w="3640" w:type="dxa"/>
            <w:vAlign w:val="bottom"/>
          </w:tcPr>
          <w:p>
            <w:pPr>
              <w:ind w:left="140"/>
              <w:spacing w:after="0"/>
              <w:rPr>
                <w:sz w:val="20"/>
                <w:szCs w:val="20"/>
                <w:color w:val="auto"/>
              </w:rPr>
            </w:pPr>
            <w:r>
              <w:rPr>
                <w:rFonts w:ascii="Arial" w:cs="Arial" w:eastAsia="Arial" w:hAnsi="Arial"/>
                <w:sz w:val="17"/>
                <w:szCs w:val="17"/>
                <w:color w:val="auto"/>
              </w:rPr>
              <w:t>XBRL Taxonomy Extension Label Linkbase</w:t>
            </w:r>
          </w:p>
        </w:tc>
      </w:tr>
      <w:tr>
        <w:trPr>
          <w:trHeight w:val="216"/>
        </w:trPr>
        <w:tc>
          <w:tcPr>
            <w:tcW w:w="780" w:type="dxa"/>
            <w:vAlign w:val="bottom"/>
          </w:tcPr>
          <w:p>
            <w:pPr>
              <w:spacing w:after="0"/>
              <w:rPr>
                <w:sz w:val="18"/>
                <w:szCs w:val="18"/>
                <w:color w:val="auto"/>
              </w:rPr>
            </w:pPr>
          </w:p>
        </w:tc>
        <w:tc>
          <w:tcPr>
            <w:tcW w:w="3640" w:type="dxa"/>
            <w:vAlign w:val="bottom"/>
          </w:tcPr>
          <w:p>
            <w:pPr>
              <w:ind w:left="140"/>
              <w:spacing w:after="0"/>
              <w:rPr>
                <w:sz w:val="20"/>
                <w:szCs w:val="20"/>
                <w:color w:val="auto"/>
              </w:rPr>
            </w:pPr>
            <w:r>
              <w:rPr>
                <w:rFonts w:ascii="Arial" w:cs="Arial" w:eastAsia="Arial" w:hAnsi="Arial"/>
                <w:sz w:val="17"/>
                <w:szCs w:val="17"/>
                <w:color w:val="auto"/>
              </w:rPr>
              <w:t>Document</w:t>
            </w:r>
          </w:p>
        </w:tc>
      </w:tr>
      <w:tr>
        <w:trPr>
          <w:trHeight w:val="297"/>
        </w:trPr>
        <w:tc>
          <w:tcPr>
            <w:tcW w:w="780" w:type="dxa"/>
            <w:vAlign w:val="bottom"/>
          </w:tcPr>
          <w:p>
            <w:pPr>
              <w:ind w:left="20"/>
              <w:spacing w:after="0"/>
              <w:rPr>
                <w:sz w:val="20"/>
                <w:szCs w:val="20"/>
                <w:color w:val="auto"/>
              </w:rPr>
            </w:pPr>
            <w:r>
              <w:rPr>
                <w:rFonts w:ascii="Arial" w:cs="Arial" w:eastAsia="Arial" w:hAnsi="Arial"/>
                <w:sz w:val="17"/>
                <w:szCs w:val="17"/>
                <w:color w:val="auto"/>
              </w:rPr>
              <w:t>101.PRE</w:t>
            </w:r>
          </w:p>
        </w:tc>
        <w:tc>
          <w:tcPr>
            <w:tcW w:w="3640" w:type="dxa"/>
            <w:vAlign w:val="bottom"/>
          </w:tcPr>
          <w:p>
            <w:pPr>
              <w:ind w:left="140"/>
              <w:spacing w:after="0"/>
              <w:rPr>
                <w:sz w:val="20"/>
                <w:szCs w:val="20"/>
                <w:color w:val="auto"/>
              </w:rPr>
            </w:pPr>
            <w:r>
              <w:rPr>
                <w:rFonts w:ascii="Arial" w:cs="Arial" w:eastAsia="Arial" w:hAnsi="Arial"/>
                <w:sz w:val="17"/>
                <w:szCs w:val="17"/>
                <w:color w:val="auto"/>
                <w:w w:val="91"/>
              </w:rPr>
              <w:t>XBRL Taxonomy Extension Presentation Linkbase</w:t>
            </w:r>
          </w:p>
        </w:tc>
      </w:tr>
      <w:tr>
        <w:trPr>
          <w:trHeight w:val="216"/>
        </w:trPr>
        <w:tc>
          <w:tcPr>
            <w:tcW w:w="780" w:type="dxa"/>
            <w:vAlign w:val="bottom"/>
          </w:tcPr>
          <w:p>
            <w:pPr>
              <w:spacing w:after="0"/>
              <w:rPr>
                <w:sz w:val="18"/>
                <w:szCs w:val="18"/>
                <w:color w:val="auto"/>
              </w:rPr>
            </w:pPr>
          </w:p>
        </w:tc>
        <w:tc>
          <w:tcPr>
            <w:tcW w:w="3640" w:type="dxa"/>
            <w:vAlign w:val="bottom"/>
          </w:tcPr>
          <w:p>
            <w:pPr>
              <w:ind w:left="140"/>
              <w:spacing w:after="0"/>
              <w:rPr>
                <w:sz w:val="20"/>
                <w:szCs w:val="20"/>
                <w:color w:val="auto"/>
              </w:rPr>
            </w:pPr>
            <w:r>
              <w:rPr>
                <w:rFonts w:ascii="Arial" w:cs="Arial" w:eastAsia="Arial" w:hAnsi="Arial"/>
                <w:sz w:val="17"/>
                <w:szCs w:val="17"/>
                <w:color w:val="auto"/>
              </w:rPr>
              <w:t>Document</w:t>
            </w:r>
          </w:p>
        </w:tc>
      </w:tr>
    </w:tbl>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7"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 w:lineRule="exact"/>
        <w:rPr>
          <w:sz w:val="20"/>
          <w:szCs w:val="20"/>
          <w:color w:val="auto"/>
        </w:rPr>
      </w:pPr>
    </w:p>
    <w:p>
      <w:pPr>
        <w:ind w:left="340" w:hanging="323"/>
        <w:spacing w:after="0" w:line="260" w:lineRule="auto"/>
        <w:rPr>
          <w:sz w:val="20"/>
          <w:szCs w:val="20"/>
          <w:color w:val="auto"/>
        </w:rPr>
      </w:pPr>
      <w:r>
        <w:rPr>
          <w:rFonts w:ascii="Arial" w:cs="Arial" w:eastAsia="Arial" w:hAnsi="Arial"/>
          <w:sz w:val="13"/>
          <w:szCs w:val="13"/>
          <w:color w:val="auto"/>
        </w:rPr>
        <w:t>† The certifications attached as Exhibit 31.1, 31.2 and 32.1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rPr>
          <w:sz w:val="20"/>
          <w:szCs w:val="20"/>
          <w:color w:val="auto"/>
        </w:rPr>
      </w:pPr>
      <w:r>
        <w:rPr>
          <w:rFonts w:ascii="Arial" w:cs="Arial" w:eastAsia="Arial" w:hAnsi="Arial"/>
          <w:sz w:val="13"/>
          <w:szCs w:val="13"/>
          <w:color w:val="auto"/>
        </w:rPr>
        <w:t># Confidential treatment has been requested for portions of this exhibit. These portions have been omitted and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1440" w:right="459" w:bottom="1440" w:gutter="0" w:footer="0" w:header="0"/>
        </w:sectPr>
      </w:pPr>
    </w:p>
    <w:bookmarkStart w:id="135" w:name="page136"/>
    <w:bookmarkEnd w:id="13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139"/>
          </w:cols>
          <w:pgMar w:left="320" w:top="1440" w:right="1440" w:bottom="1440" w:gutter="0" w:footer="0" w:header="0"/>
        </w:sectPr>
      </w:pPr>
    </w:p>
    <w:bookmarkStart w:id="136" w:name="page137"/>
    <w:bookmarkEnd w:id="136"/>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March 29, 2021</w:t>
      </w:r>
    </w:p>
    <w:p>
      <w:pPr>
        <w:spacing w:after="0" w:line="221"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SEER, INC.</w:t>
      </w:r>
    </w:p>
    <w:p>
      <w:pPr>
        <w:spacing w:after="0" w:line="337" w:lineRule="exact"/>
        <w:rPr>
          <w:sz w:val="20"/>
          <w:szCs w:val="20"/>
          <w:color w:val="auto"/>
        </w:rPr>
      </w:pPr>
    </w:p>
    <w:p>
      <w:pPr>
        <w:ind w:left="588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31750</wp:posOffset>
            </wp:positionV>
            <wp:extent cx="30429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Omid Farokhzad, M.D.</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140"/>
          </w:cols>
          <w:pgMar w:left="320" w:top="1440" w:right="439" w:bottom="1440" w:gutter="0" w:footer="0" w:header="0"/>
        </w:sectPr>
      </w:pPr>
    </w:p>
    <w:p>
      <w:pPr>
        <w:spacing w:after="0" w:line="148" w:lineRule="exact"/>
        <w:rPr>
          <w:sz w:val="20"/>
          <w:szCs w:val="20"/>
          <w:color w:val="auto"/>
        </w:rPr>
      </w:pPr>
    </w:p>
    <w:p>
      <w:pPr>
        <w:jc w:val="center"/>
        <w:ind w:left="4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317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51"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3317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Omid Farokhzad, M.D.</w:t>
      </w: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 David R.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David R. Horn</w:t>
      </w:r>
    </w:p>
    <w:p>
      <w:pPr>
        <w:spacing w:after="0" w:line="11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 David Hallal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David Hallal</w:t>
      </w:r>
    </w:p>
    <w:p>
      <w:pPr>
        <w:spacing w:after="0" w:line="11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 Catherine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Catherine Friedman</w:t>
      </w:r>
    </w:p>
    <w:p>
      <w:pPr>
        <w:spacing w:after="0" w:line="11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 Robert Langer, Sc.D.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Robert Langer, Sc.D.</w:t>
      </w:r>
    </w:p>
    <w:p>
      <w:pPr>
        <w:spacing w:after="0" w:line="11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 Terrance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Terrance McGuire</w:t>
      </w:r>
    </w:p>
    <w:p>
      <w:pPr>
        <w:spacing w:after="0" w:line="11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 Deep Nishar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Deep Nishar</w:t>
      </w:r>
    </w:p>
    <w:p>
      <w:pPr>
        <w:spacing w:after="0" w:line="15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 Omead Ostadan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Omead Ostadan</w:t>
      </w:r>
    </w:p>
    <w:p>
      <w:pPr>
        <w:spacing w:after="0" w:line="117"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/s/ Mostafa Ronaghi,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3317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Mostafa Ronaghi, Ph.D.</w:t>
      </w:r>
    </w:p>
    <w:p>
      <w:pPr>
        <w:spacing w:after="0" w:line="11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 David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David Singer</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88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23495</wp:posOffset>
            </wp:positionV>
            <wp:extent cx="23399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41"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Chief Executive Officer and</w:t>
      </w:r>
    </w:p>
    <w:p>
      <w:pPr>
        <w:jc w:val="center"/>
        <w:ind w:right="880"/>
        <w:spacing w:after="0" w:line="203" w:lineRule="auto"/>
        <w:rPr>
          <w:sz w:val="20"/>
          <w:szCs w:val="20"/>
          <w:color w:val="auto"/>
        </w:rPr>
      </w:pPr>
      <w:r>
        <w:rPr>
          <w:rFonts w:ascii="Arial" w:cs="Arial" w:eastAsia="Arial" w:hAnsi="Arial"/>
          <w:sz w:val="18"/>
          <w:szCs w:val="18"/>
          <w:color w:val="auto"/>
        </w:rPr>
        <w:t>Chair of the Board of Directors</w:t>
      </w:r>
    </w:p>
    <w:p>
      <w:pPr>
        <w:jc w:val="center"/>
        <w:ind w:righ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101" w:lineRule="exact"/>
        <w:rPr>
          <w:sz w:val="20"/>
          <w:szCs w:val="20"/>
          <w:color w:val="auto"/>
        </w:rPr>
      </w:pPr>
    </w:p>
    <w:p>
      <w:pPr>
        <w:jc w:val="center"/>
        <w:ind w:right="880"/>
        <w:spacing w:after="0" w:line="224" w:lineRule="auto"/>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Officer and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Lead Independent Director</w:t>
      </w:r>
    </w:p>
    <w:p>
      <w:pPr>
        <w:spacing w:after="0" w:line="36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23495</wp:posOffset>
            </wp:positionV>
            <wp:extent cx="23399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March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183515</wp:posOffset>
            </wp:positionV>
            <wp:extent cx="23399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March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183515</wp:posOffset>
            </wp:positionV>
            <wp:extent cx="23399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March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149225</wp:posOffset>
            </wp:positionV>
            <wp:extent cx="23399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March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149225</wp:posOffset>
            </wp:positionV>
            <wp:extent cx="23399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March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149225</wp:posOffset>
            </wp:positionV>
            <wp:extent cx="23399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March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149225</wp:posOffset>
            </wp:positionV>
            <wp:extent cx="23399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0">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March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175260</wp:posOffset>
            </wp:positionV>
            <wp:extent cx="23399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1">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March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149225</wp:posOffset>
            </wp:positionV>
            <wp:extent cx="23399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March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149225</wp:posOffset>
            </wp:positionV>
            <wp:extent cx="23399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March 29, 2021</w:t>
      </w:r>
    </w:p>
    <w:p>
      <w:pPr>
        <w:spacing w:after="0" w:line="344" w:lineRule="exact"/>
        <w:rPr>
          <w:sz w:val="20"/>
          <w:szCs w:val="20"/>
          <w:color w:val="auto"/>
        </w:rPr>
      </w:pPr>
    </w:p>
    <w:p>
      <w:pPr>
        <w:sectPr>
          <w:pgSz w:w="11900" w:h="16838" w:orient="portrait"/>
          <w:cols w:equalWidth="0" w:num="3">
            <w:col w:w="3280" w:space="720"/>
            <w:col w:w="4100" w:space="720"/>
            <w:col w:w="2320"/>
          </w:cols>
          <w:pgMar w:left="320" w:top="144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140"/>
          </w:cols>
          <w:pgMar w:left="320" w:top="1440" w:right="43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Ex. 4.3</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jc w:val="center"/>
        <w:spacing w:after="0" w:line="234" w:lineRule="auto"/>
        <w:rPr>
          <w:sz w:val="20"/>
          <w:szCs w:val="20"/>
          <w:color w:val="auto"/>
        </w:rPr>
      </w:pPr>
      <w:r>
        <w:rPr>
          <w:rFonts w:ascii="Arial" w:cs="Arial" w:eastAsia="Arial" w:hAnsi="Arial"/>
          <w:sz w:val="18"/>
          <w:szCs w:val="18"/>
          <w:b w:val="1"/>
          <w:bCs w:val="1"/>
          <w:color w:val="auto"/>
        </w:rPr>
        <w:t>EXCHANGE ACT OF 1934</w:t>
      </w:r>
    </w:p>
    <w:p>
      <w:pPr>
        <w:spacing w:after="0" w:line="1" w:lineRule="exact"/>
        <w:rPr>
          <w:sz w:val="20"/>
          <w:szCs w:val="20"/>
          <w:color w:val="auto"/>
        </w:rPr>
      </w:pPr>
    </w:p>
    <w:p>
      <w:pPr>
        <w:jc w:val="both"/>
        <w:ind w:right="20" w:firstLine="324"/>
        <w:spacing w:after="0" w:line="243" w:lineRule="auto"/>
        <w:rPr>
          <w:sz w:val="20"/>
          <w:szCs w:val="20"/>
          <w:color w:val="auto"/>
        </w:rPr>
      </w:pPr>
      <w:r>
        <w:rPr>
          <w:rFonts w:ascii="Arial" w:cs="Arial" w:eastAsia="Arial" w:hAnsi="Arial"/>
          <w:sz w:val="18"/>
          <w:szCs w:val="18"/>
          <w:color w:val="auto"/>
        </w:rPr>
        <w:t>Seer, Inc. (the “Company”) has one class of securities registered under Section 12 of the Securities Exchange Act of 1934, as amended: our Class A common stock, par value $0.00001 per share.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summary, the terms “Seer,” “the Company,” “we,” “our” and “us” refer to Seer, Inc.</w:t>
      </w:r>
    </w:p>
    <w:p>
      <w:pPr>
        <w:spacing w:after="0" w:line="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following is a description of the material terms and provisions relating to our capital stock. The following description is a summary that is not complete and is subject to and qualified in its entirety by reference to our amended and restated certificate of incorporation and our amended and restated bylaws, and to provisions of the Delaware General Corporation Law. Copies of our amended and restated certificate of incorporation and our amended and restated bylaws, each of which may be amended from time to time, are included as exhibits to the Annual Report on Form 10-K to which this description is an Exhibit.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3" w:lineRule="exact"/>
        <w:rPr>
          <w:sz w:val="20"/>
          <w:szCs w:val="20"/>
          <w:color w:val="auto"/>
        </w:rPr>
      </w:pPr>
    </w:p>
    <w:p>
      <w:pPr>
        <w:ind w:right="460" w:firstLine="324"/>
        <w:spacing w:after="0" w:line="259" w:lineRule="auto"/>
        <w:rPr>
          <w:sz w:val="20"/>
          <w:szCs w:val="20"/>
          <w:color w:val="auto"/>
        </w:rPr>
      </w:pPr>
      <w:r>
        <w:rPr>
          <w:rFonts w:ascii="Arial" w:cs="Arial" w:eastAsia="Arial" w:hAnsi="Arial"/>
          <w:sz w:val="17"/>
          <w:szCs w:val="17"/>
          <w:color w:val="auto"/>
        </w:rPr>
        <w:t>The following description summarizes certain important terms of our capital stock. Because it is only a summary, it does not contain all the information that may be important to you. For a complete description of the matters set forth herein, you should refer to our amended and restated certificate of incorporation, amended and restated bylaws and amended and restated investors’ rights agreement, which are included as exhibits to the Annual Report on Form 10-K to which this description is an Exhibit, and to the applicable provisions of Delaware law. Our authorized capital stock consists of 105,000,000 shares of capital stock, $0.00001 par value per share, of which:</w:t>
      </w:r>
    </w:p>
    <w:p>
      <w:pPr>
        <w:spacing w:after="0" w:line="205" w:lineRule="exact"/>
        <w:rPr>
          <w:sz w:val="20"/>
          <w:szCs w:val="20"/>
          <w:color w:val="auto"/>
        </w:rPr>
      </w:pPr>
    </w:p>
    <w:p>
      <w:pPr>
        <w:ind w:left="640" w:hanging="308"/>
        <w:spacing w:after="0"/>
        <w:tabs>
          <w:tab w:leader="none" w:pos="640" w:val="left"/>
        </w:tabs>
        <w:numPr>
          <w:ilvl w:val="0"/>
          <w:numId w:val="63"/>
        </w:numPr>
        <w:rPr>
          <w:rFonts w:ascii="Arial" w:cs="Arial" w:eastAsia="Arial" w:hAnsi="Arial"/>
          <w:sz w:val="22"/>
          <w:szCs w:val="22"/>
          <w:color w:val="auto"/>
        </w:rPr>
      </w:pPr>
      <w:r>
        <w:rPr>
          <w:rFonts w:ascii="Arial" w:cs="Arial" w:eastAsia="Arial" w:hAnsi="Arial"/>
          <w:sz w:val="18"/>
          <w:szCs w:val="18"/>
          <w:color w:val="auto"/>
        </w:rPr>
        <w:t>94,000,000 shares are designated as Class A common stock;</w:t>
      </w:r>
    </w:p>
    <w:p>
      <w:pPr>
        <w:spacing w:after="0" w:line="10" w:lineRule="exact"/>
        <w:rPr>
          <w:rFonts w:ascii="Arial" w:cs="Arial" w:eastAsia="Arial" w:hAnsi="Arial"/>
          <w:sz w:val="22"/>
          <w:szCs w:val="22"/>
          <w:color w:val="auto"/>
        </w:rPr>
      </w:pPr>
    </w:p>
    <w:p>
      <w:pPr>
        <w:ind w:left="640" w:hanging="308"/>
        <w:spacing w:after="0" w:line="221" w:lineRule="auto"/>
        <w:tabs>
          <w:tab w:leader="none" w:pos="640" w:val="left"/>
        </w:tabs>
        <w:numPr>
          <w:ilvl w:val="0"/>
          <w:numId w:val="63"/>
        </w:numPr>
        <w:rPr>
          <w:rFonts w:ascii="Arial" w:cs="Arial" w:eastAsia="Arial" w:hAnsi="Arial"/>
          <w:sz w:val="22"/>
          <w:szCs w:val="22"/>
          <w:color w:val="auto"/>
        </w:rPr>
      </w:pPr>
      <w:r>
        <w:rPr>
          <w:rFonts w:ascii="Arial" w:cs="Arial" w:eastAsia="Arial" w:hAnsi="Arial"/>
          <w:sz w:val="18"/>
          <w:szCs w:val="18"/>
          <w:color w:val="auto"/>
        </w:rPr>
        <w:t>6,000,000 shares are designated as Class B common stock; and</w:t>
      </w:r>
    </w:p>
    <w:p>
      <w:pPr>
        <w:spacing w:after="0" w:line="10" w:lineRule="exact"/>
        <w:rPr>
          <w:rFonts w:ascii="Arial" w:cs="Arial" w:eastAsia="Arial" w:hAnsi="Arial"/>
          <w:sz w:val="22"/>
          <w:szCs w:val="22"/>
          <w:color w:val="auto"/>
        </w:rPr>
      </w:pPr>
    </w:p>
    <w:p>
      <w:pPr>
        <w:ind w:left="640" w:hanging="308"/>
        <w:spacing w:after="0" w:line="221" w:lineRule="auto"/>
        <w:tabs>
          <w:tab w:leader="none" w:pos="640" w:val="left"/>
        </w:tabs>
        <w:numPr>
          <w:ilvl w:val="0"/>
          <w:numId w:val="63"/>
        </w:numPr>
        <w:rPr>
          <w:rFonts w:ascii="Arial" w:cs="Arial" w:eastAsia="Arial" w:hAnsi="Arial"/>
          <w:sz w:val="22"/>
          <w:szCs w:val="22"/>
          <w:color w:val="auto"/>
        </w:rPr>
      </w:pPr>
      <w:r>
        <w:rPr>
          <w:rFonts w:ascii="Arial" w:cs="Arial" w:eastAsia="Arial" w:hAnsi="Arial"/>
          <w:sz w:val="18"/>
          <w:szCs w:val="18"/>
          <w:color w:val="auto"/>
        </w:rPr>
        <w:t>5,000,000 shares are designated as preferred stock.</w:t>
      </w:r>
    </w:p>
    <w:p>
      <w:pPr>
        <w:spacing w:after="0" w:line="229" w:lineRule="exact"/>
        <w:rPr>
          <w:sz w:val="20"/>
          <w:szCs w:val="20"/>
          <w:color w:val="auto"/>
        </w:rPr>
      </w:pPr>
    </w:p>
    <w:p>
      <w:pPr>
        <w:ind w:right="440" w:firstLine="324"/>
        <w:spacing w:after="0" w:line="261" w:lineRule="auto"/>
        <w:rPr>
          <w:sz w:val="20"/>
          <w:szCs w:val="20"/>
          <w:color w:val="auto"/>
        </w:rPr>
      </w:pPr>
      <w:r>
        <w:rPr>
          <w:rFonts w:ascii="Arial" w:cs="Arial" w:eastAsia="Arial" w:hAnsi="Arial"/>
          <w:sz w:val="18"/>
          <w:szCs w:val="18"/>
          <w:color w:val="auto"/>
        </w:rPr>
        <w:t>Pursuant to our amended and restated certificate of incorporation, our board of directors has the authority, without stockholder approval except as required by the listing standards of Nasdaq, to issue additional shares of our Class A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43"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43" w:lineRule="exact"/>
        <w:rPr>
          <w:sz w:val="20"/>
          <w:szCs w:val="20"/>
          <w:color w:val="auto"/>
        </w:rPr>
      </w:pPr>
    </w:p>
    <w:p>
      <w:pPr>
        <w:ind w:right="140" w:firstLine="324"/>
        <w:spacing w:after="0" w:line="248"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43" w:lineRule="exact"/>
        <w:rPr>
          <w:sz w:val="20"/>
          <w:szCs w:val="20"/>
          <w:color w:val="auto"/>
        </w:rPr>
      </w:pPr>
    </w:p>
    <w:p>
      <w:pPr>
        <w:jc w:val="both"/>
        <w:ind w:right="340" w:firstLine="324"/>
        <w:spacing w:after="0" w:line="248" w:lineRule="auto"/>
        <w:rPr>
          <w:sz w:val="20"/>
          <w:szCs w:val="20"/>
          <w:color w:val="auto"/>
        </w:rPr>
      </w:pPr>
      <w:r>
        <w:rPr>
          <w:rFonts w:ascii="Arial" w:cs="Arial" w:eastAsia="Arial" w:hAnsi="Arial"/>
          <w:sz w:val="18"/>
          <w:szCs w:val="18"/>
          <w:color w:val="auto"/>
        </w:rPr>
        <w:t>Holders of Class A common stock are entitled to one vote for each share held on all matters submitted to a vote of stockholders and holders of our Class B common stock are entitled to ten votes for each share held, except as otherwise required by law. The holders of our Class A common stock and Class B common stock vote together as a single class, unless otherwise required by law.</w:t>
      </w:r>
    </w:p>
    <w:p>
      <w:pPr>
        <w:spacing w:after="0" w:line="209"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Delaware law could require either holders of our Class A common stock and our Class B common stock to vote separately as a single class in the following circumstances:</w:t>
      </w:r>
    </w:p>
    <w:p>
      <w:pPr>
        <w:sectPr>
          <w:pgSz w:w="11900" w:h="16838" w:orient="portrait"/>
          <w:cols w:equalWidth="0" w:num="1">
            <w:col w:w="11240"/>
          </w:cols>
          <w:pgMar w:left="320" w:top="850"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Ex. 4.3</w:t>
      </w:r>
    </w:p>
    <w:p>
      <w:pPr>
        <w:spacing w:after="0" w:line="364" w:lineRule="exact"/>
        <w:rPr>
          <w:sz w:val="20"/>
          <w:szCs w:val="20"/>
          <w:color w:val="auto"/>
        </w:rPr>
      </w:pPr>
    </w:p>
    <w:p>
      <w:pPr>
        <w:ind w:left="820" w:right="100" w:hanging="161"/>
        <w:spacing w:after="0" w:line="244" w:lineRule="auto"/>
        <w:rPr>
          <w:sz w:val="20"/>
          <w:szCs w:val="20"/>
          <w:color w:val="auto"/>
        </w:rPr>
      </w:pPr>
      <w:r>
        <w:rPr>
          <w:rFonts w:ascii="Arial" w:cs="Arial" w:eastAsia="Arial" w:hAnsi="Arial"/>
          <w:sz w:val="18"/>
          <w:szCs w:val="18"/>
          <w:color w:val="auto"/>
        </w:rPr>
        <w:t>a. if we were to seek to amend our amended and restated certificate of incorporation to increase or decrease the par value of a class of stock, then that class would be required to vote separately to approve the proposed amendment; and</w:t>
      </w:r>
    </w:p>
    <w:p>
      <w:pPr>
        <w:ind w:left="820" w:right="40" w:hanging="161"/>
        <w:spacing w:after="0" w:line="239" w:lineRule="auto"/>
        <w:rPr>
          <w:sz w:val="20"/>
          <w:szCs w:val="20"/>
          <w:color w:val="auto"/>
        </w:rPr>
      </w:pPr>
      <w:r>
        <w:rPr>
          <w:rFonts w:ascii="Arial" w:cs="Arial" w:eastAsia="Arial" w:hAnsi="Arial"/>
          <w:sz w:val="18"/>
          <w:szCs w:val="18"/>
          <w:color w:val="auto"/>
        </w:rPr>
        <w:t>b. 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216" w:lineRule="exact"/>
        <w:rPr>
          <w:sz w:val="20"/>
          <w:szCs w:val="20"/>
          <w:color w:val="auto"/>
        </w:rPr>
      </w:pPr>
    </w:p>
    <w:p>
      <w:pPr>
        <w:ind w:firstLine="324"/>
        <w:spacing w:after="0" w:line="299" w:lineRule="auto"/>
        <w:rPr>
          <w:sz w:val="20"/>
          <w:szCs w:val="20"/>
          <w:color w:val="auto"/>
        </w:rPr>
      </w:pPr>
      <w:r>
        <w:rPr>
          <w:rFonts w:ascii="Arial" w:cs="Arial" w:eastAsia="Arial" w:hAnsi="Arial"/>
          <w:sz w:val="16"/>
          <w:szCs w:val="16"/>
          <w:color w:val="auto"/>
        </w:rPr>
        <w:t>Stockholders do not have the ability to cumulate votes for the election of directors. Our amended and restated certificate of incorporation and amended and restated bylaws provide for a classified board of directors consisting of three classes of approximately equal size, each serving staggered three-year</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terms. Only the directors in one class will be subject to election by a plurality of the votes cast at each annual meeting of stockholders, with the directors in the other classes continuing for the remainder of their respective three-year terms.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39"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243" w:lineRule="exact"/>
        <w:rPr>
          <w:sz w:val="20"/>
          <w:szCs w:val="20"/>
          <w:color w:val="auto"/>
        </w:rPr>
      </w:pPr>
    </w:p>
    <w:p>
      <w:pPr>
        <w:jc w:val="both"/>
        <w:ind w:right="60" w:firstLine="324"/>
        <w:spacing w:after="0" w:line="243"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Shares of Class B common stock will automatically convert into shares of Class A common stock upon sale or transfer of such shares, excluding certain transfers permitted by our amended and restated certificate of incorporation. The Class B common stock will also automatically convert into shares of Class A common stock on December 8, 2025.</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39"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In connection with this offering, our legal counsel will opine that the shares of our Class A common stock to be issued in this offering will be fully paid and non-assessable.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4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7"/>
          <w:szCs w:val="17"/>
          <w:color w:val="auto"/>
        </w:rPr>
        <w:t>No shares of our preferred stock are outstanding. Pursuant to our amended and restated certificate of incorporation, 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w:t>
      </w:r>
    </w:p>
    <w:p>
      <w:pPr>
        <w:sectPr>
          <w:pgSz w:w="11900" w:h="16838" w:orient="portrait"/>
          <w:cols w:equalWidth="0" w:num="1">
            <w:col w:w="11180"/>
          </w:cols>
          <w:pgMar w:left="320" w:top="850" w:right="39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Ex. 4.3</w:t>
      </w:r>
    </w:p>
    <w:p>
      <w:pPr>
        <w:spacing w:after="0" w:line="36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affect the market price of our common stock and the voting and other rights of the holders of our common stock. We have no current plan to issue any shares of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43" w:lineRule="exact"/>
        <w:rPr>
          <w:sz w:val="20"/>
          <w:szCs w:val="20"/>
          <w:color w:val="auto"/>
        </w:rPr>
      </w:pPr>
    </w:p>
    <w:p>
      <w:pPr>
        <w:ind w:right="60" w:firstLine="324"/>
        <w:spacing w:after="0" w:line="241" w:lineRule="auto"/>
        <w:rPr>
          <w:sz w:val="20"/>
          <w:szCs w:val="20"/>
          <w:color w:val="auto"/>
        </w:rPr>
      </w:pPr>
      <w:r>
        <w:rPr>
          <w:rFonts w:ascii="Arial" w:cs="Arial" w:eastAsia="Arial" w:hAnsi="Arial"/>
          <w:sz w:val="18"/>
          <w:szCs w:val="18"/>
          <w:color w:val="auto"/>
        </w:rPr>
        <w:t>Certain provisions of Delaware law, our amended and restated certificate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Law</w:t>
      </w:r>
    </w:p>
    <w:p>
      <w:pPr>
        <w:spacing w:after="0" w:line="239"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213" w:lineRule="exact"/>
        <w:rPr>
          <w:sz w:val="20"/>
          <w:szCs w:val="20"/>
          <w:color w:val="auto"/>
        </w:rPr>
      </w:pPr>
    </w:p>
    <w:p>
      <w:pPr>
        <w:ind w:left="640" w:hanging="308"/>
        <w:spacing w:after="0"/>
        <w:tabs>
          <w:tab w:leader="none" w:pos="640" w:val="left"/>
        </w:tabs>
        <w:numPr>
          <w:ilvl w:val="0"/>
          <w:numId w:val="64"/>
        </w:numPr>
        <w:rPr>
          <w:rFonts w:ascii="Arial" w:cs="Arial" w:eastAsia="Arial" w:hAnsi="Arial"/>
          <w:sz w:val="22"/>
          <w:szCs w:val="22"/>
          <w:color w:val="auto"/>
        </w:rPr>
      </w:pPr>
      <w:r>
        <w:rPr>
          <w:rFonts w:ascii="Arial" w:cs="Arial" w:eastAsia="Arial" w:hAnsi="Arial"/>
          <w:sz w:val="18"/>
          <w:szCs w:val="18"/>
          <w:color w:val="auto"/>
        </w:rPr>
        <w:t>the transaction was approved by the board of directors prior to the time that the stockholder became an interested stockholder;</w:t>
      </w:r>
    </w:p>
    <w:p>
      <w:pPr>
        <w:spacing w:after="0" w:line="12" w:lineRule="exact"/>
        <w:rPr>
          <w:rFonts w:ascii="Arial" w:cs="Arial" w:eastAsia="Arial" w:hAnsi="Arial"/>
          <w:sz w:val="22"/>
          <w:szCs w:val="22"/>
          <w:color w:val="auto"/>
        </w:rPr>
      </w:pPr>
    </w:p>
    <w:p>
      <w:pPr>
        <w:ind w:left="660" w:right="100" w:hanging="328"/>
        <w:spacing w:after="0" w:line="246" w:lineRule="auto"/>
        <w:tabs>
          <w:tab w:leader="none" w:pos="651" w:val="left"/>
        </w:tabs>
        <w:numPr>
          <w:ilvl w:val="0"/>
          <w:numId w:val="64"/>
        </w:numPr>
        <w:rPr>
          <w:rFonts w:ascii="Arial" w:cs="Arial" w:eastAsia="Arial" w:hAnsi="Arial"/>
          <w:sz w:val="21"/>
          <w:szCs w:val="21"/>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2" w:lineRule="exact"/>
        <w:rPr>
          <w:rFonts w:ascii="Arial" w:cs="Arial" w:eastAsia="Arial" w:hAnsi="Arial"/>
          <w:sz w:val="21"/>
          <w:szCs w:val="21"/>
          <w:color w:val="auto"/>
        </w:rPr>
      </w:pPr>
    </w:p>
    <w:p>
      <w:pPr>
        <w:ind w:left="660" w:right="80" w:hanging="328"/>
        <w:spacing w:after="0" w:line="233" w:lineRule="auto"/>
        <w:tabs>
          <w:tab w:leader="none" w:pos="652" w:val="left"/>
        </w:tabs>
        <w:numPr>
          <w:ilvl w:val="0"/>
          <w:numId w:val="64"/>
        </w:numPr>
        <w:rPr>
          <w:rFonts w:ascii="Arial" w:cs="Arial" w:eastAsia="Arial" w:hAnsi="Arial"/>
          <w:sz w:val="22"/>
          <w:szCs w:val="22"/>
          <w:color w:val="auto"/>
        </w:rPr>
      </w:pPr>
      <w:r>
        <w:rPr>
          <w:rFonts w:ascii="Arial" w:cs="Arial" w:eastAsia="Arial" w:hAnsi="Arial"/>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216" w:lineRule="exact"/>
        <w:rPr>
          <w:sz w:val="20"/>
          <w:szCs w:val="20"/>
          <w:color w:val="auto"/>
        </w:rPr>
      </w:pPr>
    </w:p>
    <w:p>
      <w:pPr>
        <w:ind w:right="180" w:firstLine="324"/>
        <w:spacing w:after="0" w:line="294" w:lineRule="auto"/>
        <w:rPr>
          <w:sz w:val="20"/>
          <w:szCs w:val="20"/>
          <w:color w:val="auto"/>
        </w:rPr>
      </w:pPr>
      <w:r>
        <w:rPr>
          <w:rFonts w:ascii="Arial" w:cs="Arial" w:eastAsia="Arial" w:hAnsi="Arial"/>
          <w:sz w:val="16"/>
          <w:szCs w:val="16"/>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239" w:lineRule="exact"/>
        <w:rPr>
          <w:sz w:val="20"/>
          <w:szCs w:val="20"/>
          <w:color w:val="auto"/>
        </w:rPr>
      </w:pPr>
    </w:p>
    <w:p>
      <w:pPr>
        <w:ind w:right="320" w:firstLine="324"/>
        <w:spacing w:after="0" w:line="291" w:lineRule="auto"/>
        <w:rPr>
          <w:sz w:val="20"/>
          <w:szCs w:val="20"/>
          <w:color w:val="auto"/>
        </w:rPr>
      </w:pPr>
      <w:r>
        <w:rPr>
          <w:rFonts w:ascii="Arial" w:cs="Arial" w:eastAsia="Arial" w:hAnsi="Arial"/>
          <w:sz w:val="17"/>
          <w:szCs w:val="17"/>
          <w:color w:val="auto"/>
        </w:rPr>
        <w:t>Our amended and restated certificate of incorporation and our amended and restated bylaws include a number of provisions that could deter hostile takeovers or delay or prevent changes in control of our board of directors or management team, including the following:</w:t>
      </w:r>
    </w:p>
    <w:p>
      <w:pPr>
        <w:spacing w:after="0" w:line="17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amended and restated certificate of incorporation and amended and restated bylaws authorize only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to fill vacant directorships, including newly created seats. In addition, the number of directors constituting our board of directors are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ectPr>
          <w:pgSz w:w="11900" w:h="16838" w:orient="portrait"/>
          <w:cols w:equalWidth="0" w:num="1">
            <w:col w:w="11220"/>
          </w:cols>
          <w:pgMar w:left="320" w:top="850" w:right="3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Ex. 4.3</w:t>
      </w:r>
    </w:p>
    <w:p>
      <w:pPr>
        <w:spacing w:after="0" w:line="36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 xml:space="preserve">Classified Board. </w:t>
      </w:r>
      <w:r>
        <w:rPr>
          <w:rFonts w:ascii="Arial" w:cs="Arial" w:eastAsia="Arial" w:hAnsi="Arial"/>
          <w:sz w:val="17"/>
          <w:szCs w:val="17"/>
          <w:color w:val="auto"/>
        </w:rPr>
        <w:t>Our amended and restated certificate of incorporation and amended and restated bylaws provide that our board of directors is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91" w:lineRule="exact"/>
        <w:rPr>
          <w:sz w:val="20"/>
          <w:szCs w:val="20"/>
          <w:color w:val="auto"/>
        </w:rPr>
      </w:pPr>
    </w:p>
    <w:p>
      <w:pPr>
        <w:ind w:right="20" w:firstLine="324"/>
        <w:spacing w:after="0" w:line="255" w:lineRule="auto"/>
        <w:rPr>
          <w:sz w:val="20"/>
          <w:szCs w:val="20"/>
          <w:color w:val="auto"/>
        </w:rPr>
      </w:pPr>
      <w:r>
        <w:rPr>
          <w:rFonts w:ascii="Arial" w:cs="Arial" w:eastAsia="Arial" w:hAnsi="Arial"/>
          <w:sz w:val="17"/>
          <w:szCs w:val="17"/>
          <w:i w:val="1"/>
          <w:iCs w:val="1"/>
          <w:color w:val="auto"/>
        </w:rPr>
        <w:t xml:space="preserve">Stockholder Action; Special Meeting of Stockholders. </w:t>
      </w:r>
      <w:r>
        <w:rPr>
          <w:rFonts w:ascii="Arial" w:cs="Arial" w:eastAsia="Arial" w:hAnsi="Arial"/>
          <w:sz w:val="17"/>
          <w:szCs w:val="17"/>
          <w:color w:val="auto"/>
        </w:rPr>
        <w:t>Our amended and restated certificate of incorporation provide that our stockholders may not take</w:t>
      </w:r>
      <w:r>
        <w:rPr>
          <w:rFonts w:ascii="Arial" w:cs="Arial" w:eastAsia="Arial" w:hAnsi="Arial"/>
          <w:sz w:val="17"/>
          <w:szCs w:val="17"/>
          <w:i w:val="1"/>
          <w:iCs w:val="1"/>
          <w:color w:val="auto"/>
        </w:rPr>
        <w:t xml:space="preserve"> </w:t>
      </w:r>
      <w:r>
        <w:rPr>
          <w:rFonts w:ascii="Arial" w:cs="Arial" w:eastAsia="Arial" w:hAnsi="Arial"/>
          <w:sz w:val="17"/>
          <w:szCs w:val="17"/>
          <w:color w:val="auto"/>
        </w:rPr>
        <w:t>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further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207" w:lineRule="exact"/>
        <w:rPr>
          <w:sz w:val="20"/>
          <w:szCs w:val="20"/>
          <w:color w:val="auto"/>
        </w:rPr>
      </w:pPr>
    </w:p>
    <w:p>
      <w:pPr>
        <w:ind w:right="20" w:firstLine="324"/>
        <w:spacing w:after="0" w:line="239" w:lineRule="auto"/>
        <w:rPr>
          <w:sz w:val="20"/>
          <w:szCs w:val="20"/>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amended and restated bylaws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218"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cumulate votes in the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 corporation’s certificate of incorporation provides otherwise. Our amended and restated certificate of incorporation does not provide for cumulative voting.</w:t>
      </w:r>
    </w:p>
    <w:p>
      <w:pPr>
        <w:spacing w:after="0" w:line="209"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amended and restated certificate of incorporation provide that stockholders may remove directors only for</w:t>
      </w:r>
      <w:r>
        <w:rPr>
          <w:rFonts w:ascii="Arial" w:cs="Arial" w:eastAsia="Arial" w:hAnsi="Arial"/>
          <w:sz w:val="18"/>
          <w:szCs w:val="18"/>
          <w:i w:val="1"/>
          <w:iCs w:val="1"/>
          <w:color w:val="auto"/>
        </w:rPr>
        <w:t xml:space="preserve"> </w:t>
      </w:r>
      <w:r>
        <w:rPr>
          <w:rFonts w:ascii="Arial" w:cs="Arial" w:eastAsia="Arial" w:hAnsi="Arial"/>
          <w:sz w:val="18"/>
          <w:szCs w:val="18"/>
          <w:color w:val="auto"/>
        </w:rPr>
        <w:t>cause.</w:t>
      </w:r>
    </w:p>
    <w:p>
      <w:pPr>
        <w:spacing w:after="0" w:line="198"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provisions in our amended and restated certificate of incorporation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holders of at least a two thirds majority of our then outstanding capital stock.</w:t>
      </w:r>
    </w:p>
    <w:p>
      <w:pPr>
        <w:spacing w:after="0" w:line="198"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i w:val="1"/>
          <w:iCs w:val="1"/>
          <w:color w:val="auto"/>
        </w:rPr>
        <w:t xml:space="preserve">Issuance of Undesignated Preferred Stock. </w:t>
      </w:r>
      <w:r>
        <w:rPr>
          <w:rFonts w:ascii="Arial" w:cs="Arial" w:eastAsia="Arial" w:hAnsi="Arial"/>
          <w:sz w:val="18"/>
          <w:szCs w:val="18"/>
          <w:color w:val="auto"/>
        </w:rPr>
        <w:t>Our board of directors has the authority, without further action by our stockholders, to issue up to 5,000,000</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215" w:lineRule="exact"/>
        <w:rPr>
          <w:sz w:val="20"/>
          <w:szCs w:val="20"/>
          <w:color w:val="auto"/>
        </w:rPr>
      </w:pPr>
    </w:p>
    <w:p>
      <w:pPr>
        <w:ind w:right="20" w:firstLine="324"/>
        <w:spacing w:after="0" w:line="253" w:lineRule="auto"/>
        <w:rPr>
          <w:sz w:val="20"/>
          <w:szCs w:val="20"/>
          <w:color w:val="auto"/>
        </w:rPr>
      </w:pPr>
      <w:r>
        <w:rPr>
          <w:rFonts w:ascii="Arial" w:cs="Arial" w:eastAsia="Arial" w:hAnsi="Arial"/>
          <w:sz w:val="17"/>
          <w:szCs w:val="17"/>
          <w:i w:val="1"/>
          <w:iCs w:val="1"/>
          <w:color w:val="auto"/>
        </w:rPr>
        <w:t xml:space="preserve">Exclusive Forum. </w:t>
      </w:r>
      <w:r>
        <w:rPr>
          <w:rFonts w:ascii="Arial" w:cs="Arial" w:eastAsia="Arial" w:hAnsi="Arial"/>
          <w:sz w:val="17"/>
          <w:szCs w:val="17"/>
          <w:color w:val="auto"/>
        </w:rPr>
        <w:t>Our amended and restated bylaws provide that, unless we consent to the selection of an alternative forum, the Court of Chancery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State of Delaware shall be the sole and exclusive forum for (i) any derivative action or proceeding under Delaware statutory or common law brought on our behalf, (ii) any action asserting a claim of breach of fiduciary duty, (iii) any action asserting a claim arising pursuant to the Delaware General Corporation Law, (iv) any action regarding our amended and restated certificate of incorporation or amended and restated bylaws, or (v) any action asserting a claim against us that is governed by the internal affairs doctrine, except, in each case, any claim (A) as to which such court determines that there is an indispensable party not subject to the jurisdiction of such court (and the indispensable party does not consent to the personal jurisdiction of such court within 10 days following such determination), (B) which is vested in the exclusive jurisdiction of a court or forum other than such court, or (C) for which such court does not have subject matter jurisdiction.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w:t>
      </w:r>
    </w:p>
    <w:p>
      <w:pPr>
        <w:sectPr>
          <w:pgSz w:w="11900" w:h="16838" w:orient="portrait"/>
          <w:cols w:equalWidth="0" w:num="1">
            <w:col w:w="11220"/>
          </w:cols>
          <w:pgMar w:left="320" w:top="850" w:right="3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Ex. 4.3</w:t>
      </w:r>
    </w:p>
    <w:p>
      <w:pPr>
        <w:spacing w:after="0" w:line="36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considerations, our amended and restated bylaws also provide that the federal district courts of the United States will be the exclusive forum for resolving any complaint asserting a cause of action arising under the Securities Act. Section 27 of the Exchange Act creates exclusive federal jurisdiction over all suits brought to enforce any duty or liability created by the Exchange Act or the rules and regulations thereunder. As a result, the exclusive forum provision</w:t>
      </w:r>
    </w:p>
    <w:p>
      <w:pPr>
        <w:spacing w:after="0" w:line="1"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will not apply to actions arising under the Exchange Act or the rules and regulations thereunder. Although our amended and restated bylaws contain the exclusive forum provision described above, t</w:t>
      </w:r>
      <w:r>
        <w:rPr>
          <w:rFonts w:ascii="Arial" w:cs="Arial" w:eastAsia="Arial" w:hAnsi="Arial"/>
          <w:sz w:val="20"/>
          <w:szCs w:val="20"/>
          <w:color w:val="auto"/>
        </w:rPr>
        <w:t>o the extent the exclusive forum provision restricts the courts in which claims arising under</w:t>
      </w:r>
      <w:r>
        <w:rPr>
          <w:rFonts w:ascii="Arial" w:cs="Arial" w:eastAsia="Arial" w:hAnsi="Arial"/>
          <w:sz w:val="17"/>
          <w:szCs w:val="17"/>
          <w:color w:val="auto"/>
        </w:rPr>
        <w:t xml:space="preserve"> </w:t>
      </w:r>
      <w:r>
        <w:rPr>
          <w:rFonts w:ascii="Arial" w:cs="Arial" w:eastAsia="Arial" w:hAnsi="Arial"/>
          <w:sz w:val="20"/>
          <w:szCs w:val="20"/>
          <w:color w:val="auto"/>
        </w:rPr>
        <w:t>the Securities Act may be brought, there is uncertainty as to whether a court would enforce such a provision</w:t>
      </w:r>
      <w:r>
        <w:rPr>
          <w:rFonts w:ascii="Arial" w:cs="Arial" w:eastAsia="Arial" w:hAnsi="Arial"/>
          <w:sz w:val="16"/>
          <w:szCs w:val="16"/>
          <w:color w:val="auto"/>
        </w:rPr>
        <w:t>, and the enforceability of</w:t>
      </w:r>
      <w:r>
        <w:rPr>
          <w:rFonts w:ascii="Arial" w:cs="Arial" w:eastAsia="Arial" w:hAnsi="Arial"/>
          <w:sz w:val="20"/>
          <w:szCs w:val="20"/>
          <w:color w:val="auto"/>
        </w:rPr>
        <w:t xml:space="preserve"> </w:t>
      </w:r>
      <w:r>
        <w:rPr>
          <w:rFonts w:ascii="Arial" w:cs="Arial" w:eastAsia="Arial" w:hAnsi="Arial"/>
          <w:sz w:val="16"/>
          <w:szCs w:val="16"/>
          <w:color w:val="auto"/>
        </w:rPr>
        <w:t>similar choice of forum provisions in other companies’ charter documents has been challenged in legal proceedings</w:t>
      </w:r>
      <w:r>
        <w:rPr>
          <w:rFonts w:ascii="Arial" w:cs="Arial" w:eastAsia="Arial" w:hAnsi="Arial"/>
          <w:sz w:val="20"/>
          <w:szCs w:val="20"/>
          <w:color w:val="auto"/>
        </w:rPr>
        <w:t>. We note that investors cannot</w:t>
      </w:r>
      <w:r>
        <w:rPr>
          <w:rFonts w:ascii="Arial" w:cs="Arial" w:eastAsia="Arial" w:hAnsi="Arial"/>
          <w:sz w:val="16"/>
          <w:szCs w:val="16"/>
          <w:color w:val="auto"/>
        </w:rPr>
        <w:t xml:space="preserve"> </w:t>
      </w:r>
      <w:r>
        <w:rPr>
          <w:rFonts w:ascii="Arial" w:cs="Arial" w:eastAsia="Arial" w:hAnsi="Arial"/>
          <w:sz w:val="20"/>
          <w:szCs w:val="20"/>
          <w:color w:val="auto"/>
        </w:rPr>
        <w:t>waive compliance with the federal securities laws and the rules and regulations thereunder.</w:t>
      </w:r>
    </w:p>
    <w:p>
      <w:pPr>
        <w:spacing w:after="0" w:line="19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4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transfer agent and registrar for our Class A common stock is Computershare Trust Company, N.A. The transfer agent and registrar’s address is 250 Royal Street, Canton, Massachusetts 02021.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243" w:lineRule="exact"/>
        <w:rPr>
          <w:sz w:val="20"/>
          <w:szCs w:val="20"/>
          <w:color w:val="auto"/>
        </w:rPr>
      </w:pPr>
    </w:p>
    <w:p>
      <w:pPr>
        <w:ind w:right="20" w:firstLine="324"/>
        <w:spacing w:after="0" w:line="248"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 the following:</w:t>
      </w:r>
    </w:p>
    <w:p>
      <w:pPr>
        <w:spacing w:after="0" w:line="213" w:lineRule="exact"/>
        <w:rPr>
          <w:sz w:val="20"/>
          <w:szCs w:val="20"/>
          <w:color w:val="auto"/>
        </w:rPr>
      </w:pPr>
    </w:p>
    <w:p>
      <w:pPr>
        <w:ind w:left="640" w:hanging="308"/>
        <w:spacing w:after="0"/>
        <w:tabs>
          <w:tab w:leader="none" w:pos="640" w:val="left"/>
        </w:tabs>
        <w:numPr>
          <w:ilvl w:val="0"/>
          <w:numId w:val="65"/>
        </w:numPr>
        <w:rPr>
          <w:rFonts w:ascii="Arial" w:cs="Arial" w:eastAsia="Arial" w:hAnsi="Arial"/>
          <w:sz w:val="22"/>
          <w:szCs w:val="22"/>
          <w:color w:val="auto"/>
        </w:rPr>
      </w:pPr>
      <w:r>
        <w:rPr>
          <w:rFonts w:ascii="Arial" w:cs="Arial" w:eastAsia="Arial" w:hAnsi="Arial"/>
          <w:sz w:val="18"/>
          <w:szCs w:val="18"/>
          <w:color w:val="auto"/>
        </w:rPr>
        <w:t>any breach of their duty of loyalty to our company or our stockholders;</w:t>
      </w:r>
    </w:p>
    <w:p>
      <w:pPr>
        <w:spacing w:after="0" w:line="10" w:lineRule="exact"/>
        <w:rPr>
          <w:rFonts w:ascii="Arial" w:cs="Arial" w:eastAsia="Arial" w:hAnsi="Arial"/>
          <w:sz w:val="22"/>
          <w:szCs w:val="22"/>
          <w:color w:val="auto"/>
        </w:rPr>
      </w:pPr>
    </w:p>
    <w:p>
      <w:pPr>
        <w:ind w:left="640" w:hanging="308"/>
        <w:spacing w:after="0" w:line="221" w:lineRule="auto"/>
        <w:tabs>
          <w:tab w:leader="none" w:pos="640" w:val="left"/>
        </w:tabs>
        <w:numPr>
          <w:ilvl w:val="0"/>
          <w:numId w:val="65"/>
        </w:numPr>
        <w:rPr>
          <w:rFonts w:ascii="Arial" w:cs="Arial" w:eastAsia="Arial" w:hAnsi="Arial"/>
          <w:sz w:val="22"/>
          <w:szCs w:val="22"/>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2" w:lineRule="exact"/>
        <w:rPr>
          <w:rFonts w:ascii="Arial" w:cs="Arial" w:eastAsia="Arial" w:hAnsi="Arial"/>
          <w:sz w:val="22"/>
          <w:szCs w:val="22"/>
          <w:color w:val="auto"/>
        </w:rPr>
      </w:pPr>
    </w:p>
    <w:p>
      <w:pPr>
        <w:ind w:left="660" w:right="260" w:hanging="328"/>
        <w:spacing w:after="0" w:line="232" w:lineRule="auto"/>
        <w:tabs>
          <w:tab w:leader="none" w:pos="652" w:val="left"/>
        </w:tabs>
        <w:numPr>
          <w:ilvl w:val="0"/>
          <w:numId w:val="65"/>
        </w:numPr>
        <w:rPr>
          <w:rFonts w:ascii="Arial" w:cs="Arial" w:eastAsia="Arial" w:hAnsi="Arial"/>
          <w:sz w:val="22"/>
          <w:szCs w:val="22"/>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 w:lineRule="exact"/>
        <w:rPr>
          <w:rFonts w:ascii="Arial" w:cs="Arial" w:eastAsia="Arial" w:hAnsi="Arial"/>
          <w:sz w:val="22"/>
          <w:szCs w:val="22"/>
          <w:color w:val="auto"/>
        </w:rPr>
      </w:pPr>
    </w:p>
    <w:p>
      <w:pPr>
        <w:ind w:left="640" w:hanging="308"/>
        <w:spacing w:after="0" w:line="217" w:lineRule="auto"/>
        <w:tabs>
          <w:tab w:leader="none" w:pos="640" w:val="left"/>
        </w:tabs>
        <w:numPr>
          <w:ilvl w:val="0"/>
          <w:numId w:val="65"/>
        </w:numPr>
        <w:rPr>
          <w:rFonts w:ascii="Arial" w:cs="Arial" w:eastAsia="Arial" w:hAnsi="Arial"/>
          <w:sz w:val="22"/>
          <w:szCs w:val="22"/>
          <w:color w:val="auto"/>
        </w:rPr>
      </w:pPr>
      <w:r>
        <w:rPr>
          <w:rFonts w:ascii="Arial" w:cs="Arial" w:eastAsia="Arial" w:hAnsi="Arial"/>
          <w:sz w:val="18"/>
          <w:szCs w:val="18"/>
          <w:color w:val="auto"/>
        </w:rPr>
        <w:t>any transaction from which they derived an improper personal benefit.</w:t>
      </w:r>
    </w:p>
    <w:p>
      <w:pPr>
        <w:spacing w:after="0" w:line="229"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215" w:lineRule="exact"/>
        <w:rPr>
          <w:sz w:val="20"/>
          <w:szCs w:val="20"/>
          <w:color w:val="auto"/>
        </w:rPr>
      </w:pPr>
    </w:p>
    <w:p>
      <w:pPr>
        <w:ind w:right="20" w:firstLine="324"/>
        <w:spacing w:after="0" w:line="274" w:lineRule="auto"/>
        <w:rPr>
          <w:sz w:val="20"/>
          <w:szCs w:val="20"/>
          <w:color w:val="auto"/>
        </w:rPr>
      </w:pPr>
      <w:r>
        <w:rPr>
          <w:rFonts w:ascii="Arial" w:cs="Arial" w:eastAsia="Arial" w:hAnsi="Arial"/>
          <w:sz w:val="16"/>
          <w:szCs w:val="16"/>
          <w:color w:val="auto"/>
        </w:rPr>
        <w:t>In addition, our amended and restated bylaws provide that we will indemnify, to the fullest extent permitted by law, any person who is or was a party or is threatened to be made a party to any action, suit or proceeding by reason of the fact that they are or were one of our directors or officers or is or was serving at our request as a director or officer of another corporation, partnership, joint venture, trust or other enterprise. Our amended and restated bylaws provide that we may indemnify to the fullest extent permitted by law any person who is or was a party or is threatened to be made a party to any action, suit or proceeding by reason of the fact that they are or were one of our employees or agents or is or was serving at our request as an employee or agent of another corporation, partnership, joint venture, trust or other enterprise. Our amended and restated bylaws also provide that we must advance expenses incurred by or on behalf of a director or officer in advance of the final disposition of any action or proceeding, subject to limited exceptions.</w:t>
      </w:r>
    </w:p>
    <w:p>
      <w:pPr>
        <w:sectPr>
          <w:pgSz w:w="11900" w:h="16838" w:orient="portrait"/>
          <w:cols w:equalWidth="0" w:num="1">
            <w:col w:w="11240"/>
          </w:cols>
          <w:pgMar w:left="320" w:top="850"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Ex. 4.3</w:t>
      </w:r>
    </w:p>
    <w:p>
      <w:pPr>
        <w:spacing w:after="0" w:line="364" w:lineRule="exact"/>
        <w:rPr>
          <w:sz w:val="20"/>
          <w:szCs w:val="20"/>
          <w:color w:val="auto"/>
        </w:rPr>
      </w:pPr>
    </w:p>
    <w:p>
      <w:pPr>
        <w:ind w:right="140" w:firstLine="324"/>
        <w:spacing w:after="0" w:line="279" w:lineRule="auto"/>
        <w:rPr>
          <w:sz w:val="20"/>
          <w:szCs w:val="20"/>
          <w:color w:val="auto"/>
        </w:rPr>
      </w:pPr>
      <w:r>
        <w:rPr>
          <w:rFonts w:ascii="Arial" w:cs="Arial" w:eastAsia="Arial" w:hAnsi="Arial"/>
          <w:sz w:val="16"/>
          <w:szCs w:val="16"/>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86" w:lineRule="exact"/>
        <w:rPr>
          <w:sz w:val="20"/>
          <w:szCs w:val="20"/>
          <w:color w:val="auto"/>
        </w:rPr>
      </w:pPr>
    </w:p>
    <w:p>
      <w:pPr>
        <w:ind w:right="20" w:firstLine="324"/>
        <w:spacing w:after="0" w:line="253" w:lineRule="auto"/>
        <w:rPr>
          <w:sz w:val="20"/>
          <w:szCs w:val="20"/>
          <w:color w:val="auto"/>
        </w:rPr>
      </w:pPr>
      <w:r>
        <w:rPr>
          <w:rFonts w:ascii="Arial" w:cs="Arial" w:eastAsia="Arial" w:hAnsi="Arial"/>
          <w:sz w:val="17"/>
          <w:szCs w:val="17"/>
          <w:color w:val="auto"/>
        </w:rPr>
        <w:t>The limitation of liability and indemnification provisions that are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211" w:lineRule="exact"/>
        <w:rPr>
          <w:sz w:val="20"/>
          <w:szCs w:val="20"/>
          <w:color w:val="auto"/>
        </w:rPr>
      </w:pPr>
    </w:p>
    <w:p>
      <w:pPr>
        <w:ind w:right="60" w:firstLine="324"/>
        <w:spacing w:after="0" w:line="243"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215"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or indemnified against certain liabilities incurred in their capacity as members of our board of directors.</w:t>
      </w:r>
    </w:p>
    <w:p>
      <w:pPr>
        <w:spacing w:after="0" w:line="198"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underwriting agreement will provide for indemnification by the underwriters of us and our officers and directors for certain liabilities arising under the Securities Act or otherwise.</w:t>
      </w:r>
    </w:p>
    <w:p>
      <w:pPr>
        <w:spacing w:after="0" w:line="198" w:lineRule="exact"/>
        <w:rPr>
          <w:sz w:val="20"/>
          <w:szCs w:val="20"/>
          <w:color w:val="auto"/>
        </w:rPr>
      </w:pPr>
    </w:p>
    <w:p>
      <w:pPr>
        <w:ind w:right="160" w:firstLine="324"/>
        <w:spacing w:after="0" w:line="248"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stock is listed on the Nasdaq Global Select Market under the symbol “SEER.”</w:t>
      </w:r>
    </w:p>
    <w:p>
      <w:pPr>
        <w:sectPr>
          <w:pgSz w:w="11900" w:h="16838" w:orient="portrait"/>
          <w:cols w:equalWidth="0" w:num="1">
            <w:col w:w="11240"/>
          </w:cols>
          <w:pgMar w:left="320" w:top="850"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Ex. 23.1</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consent to the incorporation by reference in the following Registration Statement Nos. 333-252534 and 333-251158 on Form S-8 of our report dated March 29, 2021, relating to the consolidated financial statements of Seer, Inc. appearing in this Annual Report on Form 10-K for the year ended December 31,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rPr>
          <w:sz w:val="20"/>
          <w:szCs w:val="20"/>
          <w:color w:val="auto"/>
        </w:rPr>
      </w:pPr>
      <w:r>
        <w:rPr>
          <w:rFonts w:ascii="Arial" w:cs="Arial" w:eastAsia="Arial" w:hAnsi="Arial"/>
          <w:sz w:val="18"/>
          <w:szCs w:val="18"/>
          <w:color w:val="auto"/>
        </w:rPr>
        <w:t>March 29, 2021</w:t>
      </w:r>
    </w:p>
    <w:p>
      <w:pPr>
        <w:sectPr>
          <w:pgSz w:w="11900" w:h="16838" w:orient="portrait"/>
          <w:cols w:equalWidth="0" w:num="1">
            <w:col w:w="11160"/>
          </w:cols>
          <w:pgMar w:left="320" w:top="1417" w:right="419" w:bottom="1440" w:gutter="0" w:footer="0" w:header="0"/>
        </w:sectPr>
      </w:pPr>
    </w:p>
    <w:bookmarkStart w:id="144" w:name="page145"/>
    <w:bookmarkEnd w:id="144"/>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 Omid Farokhzad, certify that: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1.I have reviewed this Annual Report on Form 10-K of Seer, Inc.;</w:t>
      </w:r>
    </w:p>
    <w:p>
      <w:pPr>
        <w:spacing w:after="0" w:line="248" w:lineRule="exact"/>
        <w:rPr>
          <w:sz w:val="20"/>
          <w:szCs w:val="20"/>
          <w:color w:val="auto"/>
        </w:rPr>
      </w:pPr>
    </w:p>
    <w:p>
      <w:pPr>
        <w:ind w:left="660" w:right="320"/>
        <w:spacing w:after="0" w:line="310" w:lineRule="auto"/>
        <w:rPr>
          <w:sz w:val="20"/>
          <w:szCs w:val="20"/>
          <w:color w:val="auto"/>
        </w:rPr>
      </w:pPr>
      <w:r>
        <w:rPr>
          <w:rFonts w:ascii="Arial" w:cs="Arial" w:eastAsia="Arial" w:hAnsi="Arial"/>
          <w:sz w:val="15"/>
          <w:szCs w:val="15"/>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sz w:val="20"/>
          <w:szCs w:val="20"/>
          <w:color w:val="auto"/>
        </w:rPr>
      </w:pPr>
    </w:p>
    <w:p>
      <w:pPr>
        <w:ind w:left="660" w:right="400"/>
        <w:spacing w:after="0" w:line="275"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sz w:val="20"/>
          <w:szCs w:val="20"/>
          <w:color w:val="auto"/>
        </w:rPr>
      </w:pPr>
    </w:p>
    <w:p>
      <w:pPr>
        <w:jc w:val="both"/>
        <w:ind w:left="660" w:right="260"/>
        <w:spacing w:after="0" w:line="261" w:lineRule="auto"/>
        <w:rPr>
          <w:sz w:val="20"/>
          <w:szCs w:val="20"/>
          <w:color w:val="auto"/>
        </w:rPr>
      </w:pPr>
      <w:r>
        <w:rPr>
          <w:rFonts w:ascii="Arial" w:cs="Arial" w:eastAsia="Arial" w:hAnsi="Arial"/>
          <w:sz w:val="16"/>
          <w:szCs w:val="16"/>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sz w:val="20"/>
          <w:szCs w:val="20"/>
          <w:color w:val="auto"/>
        </w:rPr>
      </w:pPr>
    </w:p>
    <w:p>
      <w:pPr>
        <w:ind w:left="1300" w:right="60" w:firstLine="4"/>
        <w:spacing w:after="0" w:line="261" w:lineRule="auto"/>
        <w:tabs>
          <w:tab w:leader="none" w:pos="15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1300" w:right="40" w:firstLine="4"/>
        <w:spacing w:after="0" w:line="261" w:lineRule="auto"/>
        <w:tabs>
          <w:tab w:leader="none" w:pos="1529" w:val="left"/>
        </w:tabs>
        <w:numPr>
          <w:ilvl w:val="1"/>
          <w:numId w:val="6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1300" w:right="120" w:firstLine="4"/>
        <w:spacing w:after="0" w:line="310" w:lineRule="auto"/>
        <w:tabs>
          <w:tab w:leader="none" w:pos="1520" w:val="left"/>
        </w:tabs>
        <w:numPr>
          <w:ilvl w:val="1"/>
          <w:numId w:val="6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5"/>
          <w:szCs w:val="15"/>
          <w:color w:val="auto"/>
        </w:rPr>
      </w:pPr>
    </w:p>
    <w:p>
      <w:pPr>
        <w:ind w:left="1300" w:right="160" w:firstLine="4"/>
        <w:spacing w:after="0" w:line="261" w:lineRule="auto"/>
        <w:tabs>
          <w:tab w:leader="none" w:pos="1529" w:val="left"/>
        </w:tabs>
        <w:numPr>
          <w:ilvl w:val="1"/>
          <w:numId w:val="6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right="140" w:hanging="4"/>
        <w:spacing w:after="0" w:line="275" w:lineRule="auto"/>
        <w:tabs>
          <w:tab w:leader="none" w:pos="822"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1300" w:right="20" w:firstLine="4"/>
        <w:spacing w:after="0" w:line="275" w:lineRule="auto"/>
        <w:tabs>
          <w:tab w:leader="none" w:pos="15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300" w:right="60" w:firstLine="4"/>
        <w:spacing w:after="0" w:line="275" w:lineRule="auto"/>
        <w:tabs>
          <w:tab w:leader="none" w:pos="1529" w:val="left"/>
        </w:tabs>
        <w:numPr>
          <w:ilvl w:val="1"/>
          <w:numId w:val="6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Date: March 29,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By: /s/ [Omid Farokhzad]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Omid Farokhzad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Chair of the Board of Directors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1422"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6"/>
          <w:szCs w:val="16"/>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 David Horn, certify that: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1.I have reviewed this Annual Report on Form 10-K of Seer, Inc.;</w:t>
      </w:r>
    </w:p>
    <w:p>
      <w:pPr>
        <w:spacing w:after="0" w:line="248" w:lineRule="exact"/>
        <w:rPr>
          <w:sz w:val="20"/>
          <w:szCs w:val="20"/>
          <w:color w:val="auto"/>
        </w:rPr>
      </w:pPr>
    </w:p>
    <w:p>
      <w:pPr>
        <w:ind w:left="660" w:right="320"/>
        <w:spacing w:after="0" w:line="310" w:lineRule="auto"/>
        <w:rPr>
          <w:sz w:val="20"/>
          <w:szCs w:val="20"/>
          <w:color w:val="auto"/>
        </w:rPr>
      </w:pPr>
      <w:r>
        <w:rPr>
          <w:rFonts w:ascii="Arial" w:cs="Arial" w:eastAsia="Arial" w:hAnsi="Arial"/>
          <w:sz w:val="15"/>
          <w:szCs w:val="15"/>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sz w:val="20"/>
          <w:szCs w:val="20"/>
          <w:color w:val="auto"/>
        </w:rPr>
      </w:pPr>
    </w:p>
    <w:p>
      <w:pPr>
        <w:ind w:left="660" w:right="400"/>
        <w:spacing w:after="0" w:line="275"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sz w:val="20"/>
          <w:szCs w:val="20"/>
          <w:color w:val="auto"/>
        </w:rPr>
      </w:pPr>
    </w:p>
    <w:p>
      <w:pPr>
        <w:jc w:val="both"/>
        <w:ind w:left="660" w:right="260"/>
        <w:spacing w:after="0" w:line="261" w:lineRule="auto"/>
        <w:rPr>
          <w:sz w:val="20"/>
          <w:szCs w:val="20"/>
          <w:color w:val="auto"/>
        </w:rPr>
      </w:pPr>
      <w:r>
        <w:rPr>
          <w:rFonts w:ascii="Arial" w:cs="Arial" w:eastAsia="Arial" w:hAnsi="Arial"/>
          <w:sz w:val="16"/>
          <w:szCs w:val="16"/>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sz w:val="20"/>
          <w:szCs w:val="20"/>
          <w:color w:val="auto"/>
        </w:rPr>
      </w:pPr>
    </w:p>
    <w:p>
      <w:pPr>
        <w:ind w:left="1300" w:right="60" w:firstLine="4"/>
        <w:spacing w:after="0" w:line="261" w:lineRule="auto"/>
        <w:tabs>
          <w:tab w:leader="none" w:pos="15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1300" w:right="40" w:firstLine="4"/>
        <w:spacing w:after="0" w:line="261" w:lineRule="auto"/>
        <w:tabs>
          <w:tab w:leader="none" w:pos="1529"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1300" w:right="120" w:firstLine="4"/>
        <w:spacing w:after="0" w:line="275" w:lineRule="auto"/>
        <w:tabs>
          <w:tab w:leader="none" w:pos="15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99" w:lineRule="exact"/>
        <w:rPr>
          <w:rFonts w:ascii="Arial" w:cs="Arial" w:eastAsia="Arial" w:hAnsi="Arial"/>
          <w:sz w:val="16"/>
          <w:szCs w:val="16"/>
          <w:color w:val="auto"/>
        </w:rPr>
      </w:pPr>
    </w:p>
    <w:p>
      <w:pPr>
        <w:ind w:left="1300" w:right="480" w:firstLine="4"/>
        <w:spacing w:after="0" w:line="310" w:lineRule="auto"/>
        <w:tabs>
          <w:tab w:leader="none" w:pos="1529" w:val="left"/>
        </w:tabs>
        <w:numPr>
          <w:ilvl w:val="1"/>
          <w:numId w:val="68"/>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75" w:lineRule="exact"/>
        <w:rPr>
          <w:rFonts w:ascii="Arial" w:cs="Arial" w:eastAsia="Arial" w:hAnsi="Arial"/>
          <w:sz w:val="15"/>
          <w:szCs w:val="15"/>
          <w:color w:val="auto"/>
        </w:rPr>
      </w:pPr>
    </w:p>
    <w:p>
      <w:pPr>
        <w:ind w:left="660" w:right="140" w:hanging="4"/>
        <w:spacing w:after="0" w:line="275" w:lineRule="auto"/>
        <w:tabs>
          <w:tab w:leader="none" w:pos="822"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1300" w:right="20" w:firstLine="4"/>
        <w:spacing w:after="0" w:line="275" w:lineRule="auto"/>
        <w:tabs>
          <w:tab w:leader="none" w:pos="15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300" w:right="60" w:firstLine="4"/>
        <w:spacing w:after="0" w:line="275" w:lineRule="auto"/>
        <w:tabs>
          <w:tab w:leader="none" w:pos="1529" w:val="left"/>
        </w:tabs>
        <w:numPr>
          <w:ilvl w:val="1"/>
          <w:numId w:val="6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Date: March 29,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By: /s/ [David Horn]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David Horn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1422"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4"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Pursuant to the requirement set forth in Section 1350 of Chapter 63 of Title 18 of the United States Code (18 U.S.C. §1350), as adopted pursuant to Section 906 of the Sarbanes-Oxley Act of 2002, Omid Farokhzad, Chief Executive Officer and Chair of the Board of Directors of Seer, Inc. (the “Company”), and David Horn, Chief Financial Officer of the Company, each hereby certify that:</w:t>
      </w:r>
    </w:p>
    <w:p>
      <w:pPr>
        <w:spacing w:after="0" w:line="210" w:lineRule="exact"/>
        <w:rPr>
          <w:sz w:val="20"/>
          <w:szCs w:val="20"/>
          <w:color w:val="auto"/>
        </w:rPr>
      </w:pPr>
    </w:p>
    <w:p>
      <w:pPr>
        <w:ind w:left="660" w:right="300" w:hanging="4"/>
        <w:spacing w:after="0" w:line="275" w:lineRule="auto"/>
        <w:tabs>
          <w:tab w:leader="none" w:pos="822"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Company’s Annual Report on Form 10-K for the period ended December 31, 2020, to which this Certification is attached as Exhibit 32.1 (the “Periodic Report”), fully complies with the requirements of Section 13(a) or Section 15(d) of the Securities Exchange Act of 1934; and</w:t>
      </w:r>
    </w:p>
    <w:p>
      <w:pPr>
        <w:spacing w:after="0" w:line="199" w:lineRule="exact"/>
        <w:rPr>
          <w:rFonts w:ascii="Arial" w:cs="Arial" w:eastAsia="Arial" w:hAnsi="Arial"/>
          <w:sz w:val="16"/>
          <w:szCs w:val="16"/>
          <w:color w:val="auto"/>
        </w:rPr>
      </w:pPr>
    </w:p>
    <w:p>
      <w:pPr>
        <w:ind w:right="440" w:firstLine="656"/>
        <w:spacing w:after="0" w:line="255" w:lineRule="auto"/>
        <w:tabs>
          <w:tab w:leader="none" w:pos="81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 /s/ [Omid Farokhzad]</w:t>
      </w:r>
    </w:p>
    <w:p>
      <w:pPr>
        <w:spacing w:after="0" w:line="1" w:lineRule="exact"/>
        <w:rPr>
          <w:rFonts w:ascii="Arial" w:cs="Arial" w:eastAsia="Arial" w:hAnsi="Arial"/>
          <w:sz w:val="16"/>
          <w:szCs w:val="16"/>
          <w:color w:val="auto"/>
        </w:rPr>
      </w:pPr>
    </w:p>
    <w:p>
      <w:pPr>
        <w:ind w:right="9820"/>
        <w:spacing w:after="0" w:line="281" w:lineRule="auto"/>
        <w:rPr>
          <w:rFonts w:ascii="Arial" w:cs="Arial" w:eastAsia="Arial" w:hAnsi="Arial"/>
          <w:sz w:val="16"/>
          <w:szCs w:val="16"/>
          <w:color w:val="auto"/>
        </w:rPr>
      </w:pPr>
      <w:r>
        <w:rPr>
          <w:rFonts w:ascii="Arial" w:cs="Arial" w:eastAsia="Arial" w:hAnsi="Arial"/>
          <w:sz w:val="14"/>
          <w:szCs w:val="14"/>
          <w:color w:val="auto"/>
        </w:rPr>
        <w:t>Date: March 29, 2021 Omid Farokhzad</w:t>
      </w:r>
    </w:p>
    <w:p>
      <w:pPr>
        <w:spacing w:after="0" w:line="1" w:lineRule="exact"/>
        <w:rPr>
          <w:rFonts w:ascii="Arial" w:cs="Arial" w:eastAsia="Arial" w:hAnsi="Arial"/>
          <w:sz w:val="16"/>
          <w:szCs w:val="16"/>
          <w:color w:val="auto"/>
        </w:rPr>
      </w:pPr>
    </w:p>
    <w:p>
      <w:pPr>
        <w:ind w:right="7460"/>
        <w:spacing w:after="0" w:line="246" w:lineRule="auto"/>
        <w:rPr>
          <w:rFonts w:ascii="Arial" w:cs="Arial" w:eastAsia="Arial" w:hAnsi="Arial"/>
          <w:sz w:val="16"/>
          <w:szCs w:val="16"/>
          <w:color w:val="auto"/>
        </w:rPr>
      </w:pPr>
      <w:r>
        <w:rPr>
          <w:rFonts w:ascii="Arial" w:cs="Arial" w:eastAsia="Arial" w:hAnsi="Arial"/>
          <w:sz w:val="16"/>
          <w:szCs w:val="16"/>
          <w:color w:val="auto"/>
        </w:rPr>
        <w:t>Chief Executive Officer &amp; Chair of The Board of Director /s/ [David Horn]</w:t>
      </w:r>
    </w:p>
    <w:p>
      <w:pPr>
        <w:ind w:right="9720"/>
        <w:spacing w:after="0" w:line="290" w:lineRule="auto"/>
        <w:rPr>
          <w:rFonts w:ascii="Arial" w:cs="Arial" w:eastAsia="Arial" w:hAnsi="Arial"/>
          <w:sz w:val="16"/>
          <w:szCs w:val="16"/>
          <w:color w:val="auto"/>
        </w:rPr>
      </w:pPr>
      <w:r>
        <w:rPr>
          <w:rFonts w:ascii="Arial" w:cs="Arial" w:eastAsia="Arial" w:hAnsi="Arial"/>
          <w:sz w:val="15"/>
          <w:szCs w:val="15"/>
          <w:color w:val="auto"/>
        </w:rPr>
        <w:t>Date: March 29, 2021 Chief Financial Officer</w:t>
      </w:r>
    </w:p>
    <w:p>
      <w:pPr>
        <w:spacing w:after="0" w:line="190"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Seer,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decimal"/>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1."/>
      <w:numFmt w:val="decimal"/>
      <w:start w:val="1"/>
    </w:lvl>
  </w:abstractNum>
  <w:abstractNum w:abstractNumId="47">
    <w:nsid w:val="354FE9F9"/>
    <w:multiLevelType w:val="hybridMultilevel"/>
    <w:lvl w:ilvl="0">
      <w:lvlJc w:val="left"/>
      <w:lvlText w:val="%1."/>
      <w:numFmt w:val="decimal"/>
      <w:start w:val="2"/>
    </w:lvl>
  </w:abstractNum>
  <w:abstractNum w:abstractNumId="48">
    <w:nsid w:val="15B5AF5C"/>
    <w:multiLevelType w:val="hybridMultilevel"/>
    <w:lvl w:ilvl="0">
      <w:lvlJc w:val="left"/>
      <w:lvlText w:val="%1."/>
      <w:numFmt w:val="decimal"/>
      <w:start w:val="3"/>
    </w:lvl>
  </w:abstractNum>
  <w:abstractNum w:abstractNumId="49">
    <w:nsid w:val="741226BB"/>
    <w:multiLevelType w:val="hybridMultilevel"/>
    <w:lvl w:ilvl="0">
      <w:lvlJc w:val="left"/>
      <w:lvlText w:val="%1."/>
      <w:numFmt w:val="decimal"/>
      <w:start w:val="5"/>
    </w:lvl>
  </w:abstractNum>
  <w:abstractNum w:abstractNumId="50">
    <w:nsid w:val="D34B6A8"/>
    <w:multiLevelType w:val="hybridMultilevel"/>
    <w:lvl w:ilvl="0">
      <w:lvlJc w:val="left"/>
      <w:lvlText w:val="%1."/>
      <w:numFmt w:val="decimal"/>
      <w:start w:val="6"/>
    </w:lvl>
  </w:abstractNum>
  <w:abstractNum w:abstractNumId="51">
    <w:nsid w:val="10233C99"/>
    <w:multiLevelType w:val="hybridMultilevel"/>
    <w:lvl w:ilvl="0">
      <w:lvlJc w:val="left"/>
      <w:lvlText w:val="%1."/>
      <w:numFmt w:val="decimal"/>
      <w:start w:val="7"/>
    </w:lvl>
  </w:abstractNum>
  <w:abstractNum w:abstractNumId="52">
    <w:nsid w:val="3F6AB60F"/>
    <w:multiLevelType w:val="hybridMultilevel"/>
    <w:lvl w:ilvl="0">
      <w:lvlJc w:val="left"/>
      <w:lvlText w:val="%1."/>
      <w:numFmt w:val="decimal"/>
      <w:start w:val="8"/>
    </w:lvl>
  </w:abstractNum>
  <w:abstractNum w:abstractNumId="53">
    <w:nsid w:val="61574095"/>
    <w:multiLevelType w:val="hybridMultilevel"/>
    <w:lvl w:ilvl="0">
      <w:lvlJc w:val="left"/>
      <w:lvlText w:val="%1."/>
      <w:numFmt w:val="decimal"/>
      <w:start w:val="9"/>
    </w:lvl>
  </w:abstractNum>
  <w:abstractNum w:abstractNumId="54">
    <w:nsid w:val="7E0C57B1"/>
    <w:multiLevelType w:val="hybridMultilevel"/>
    <w:lvl w:ilvl="0">
      <w:lvlJc w:val="left"/>
      <w:lvlText w:val="%1."/>
      <w:numFmt w:val="decimal"/>
      <w:start w:val="10"/>
    </w:lvl>
  </w:abstractNum>
  <w:abstractNum w:abstractNumId="55">
    <w:nsid w:val="77AE35EB"/>
    <w:multiLevelType w:val="hybridMultilevel"/>
    <w:lvl w:ilvl="0">
      <w:lvlJc w:val="left"/>
      <w:lvlText w:val="%1."/>
      <w:numFmt w:val="decimal"/>
      <w:start w:val="11"/>
    </w:lvl>
  </w:abstractNum>
  <w:abstractNum w:abstractNumId="56">
    <w:nsid w:val="579BE4F1"/>
    <w:multiLevelType w:val="hybridMultilevel"/>
    <w:lvl w:ilvl="0">
      <w:lvlJc w:val="left"/>
      <w:lvlText w:val="%1."/>
      <w:numFmt w:val="decimal"/>
      <w:start w:val="12"/>
    </w:lvl>
  </w:abstractNum>
  <w:abstractNum w:abstractNumId="57">
    <w:nsid w:val="310C50B3"/>
    <w:multiLevelType w:val="hybridMultilevel"/>
    <w:lvl w:ilvl="0">
      <w:lvlJc w:val="left"/>
      <w:lvlText w:val="%1."/>
      <w:numFmt w:val="decimal"/>
      <w:start w:val="13"/>
    </w:lvl>
  </w:abstractNum>
  <w:abstractNum w:abstractNumId="58">
    <w:nsid w:val="5FF87E05"/>
    <w:multiLevelType w:val="hybridMultilevel"/>
    <w:lvl w:ilvl="0">
      <w:lvlJc w:val="left"/>
      <w:lvlText w:val="%1."/>
      <w:numFmt w:val="decimal"/>
      <w:start w:val="14"/>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1."/>
      <w:numFmt w:val="decimal"/>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1."/>
      <w:numFmt w:val="lowerLetter"/>
      <w:start w:val="1"/>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1."/>
      <w:numFmt w:val="lowerLetter"/>
      <w:start w:val="1"/>
    </w:lvl>
  </w:abstractNum>
  <w:abstractNum w:abstractNumId="65">
    <w:nsid w:val="5DB70AE5"/>
    <w:multiLevelType w:val="hybridMultilevel"/>
    <w:lvl w:ilvl="0">
      <w:lvlJc w:val="left"/>
      <w:lvlText w:val="%1"/>
      <w:numFmt w:val="decimal"/>
      <w:start w:val="1"/>
    </w:lvl>
    <w:lvl w:ilvl="1">
      <w:lvlJc w:val="left"/>
      <w:lvlText w:val="(%2)"/>
      <w:numFmt w:val="lowerLetter"/>
      <w:start w:val="1"/>
    </w:lvl>
  </w:abstractNum>
  <w:abstractNum w:abstractNumId="66">
    <w:nsid w:val="100F8FCA"/>
    <w:multiLevelType w:val="hybridMultilevel"/>
    <w:lvl w:ilvl="0">
      <w:lvlJc w:val="left"/>
      <w:lvlText w:val="%1."/>
      <w:numFmt w:val="decimal"/>
      <w:start w:val="5"/>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5"/>
    </w:lvl>
    <w:lvl w:ilvl="1">
      <w:lvlJc w:val="left"/>
      <w:lvlText w:val="(%2)"/>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78" Type="http://schemas.openxmlformats.org/officeDocument/2006/relationships/image" Target="media/image51.png"/><Relationship Id="rId79" Type="http://schemas.openxmlformats.org/officeDocument/2006/relationships/image" Target="media/image52.png"/><Relationship Id="rId80" Type="http://schemas.openxmlformats.org/officeDocument/2006/relationships/image" Target="media/image53.png"/><Relationship Id="rId81"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41" Type="http://schemas.openxmlformats.org/officeDocument/2006/relationships/hyperlink" Target="https://www.sec.gov/Archives/edgar/data/1726445/000162828020017214/exhibit31-closing8xk.htm" TargetMode="External"/><Relationship Id="rId42" Type="http://schemas.openxmlformats.org/officeDocument/2006/relationships/hyperlink" Target="https://www.sec.gov/Archives/edgar/data/1726445/000162828020017214/exhibit32-closing8xk.htm" TargetMode="External"/><Relationship Id="rId43" Type="http://schemas.openxmlformats.org/officeDocument/2006/relationships/hyperlink" Target="https://www.sec.gov/Archives/edgar/data/1726445/000162828020016325/exhibit41-stockcertifi.htm" TargetMode="External"/><Relationship Id="rId44" Type="http://schemas.openxmlformats.org/officeDocument/2006/relationships/hyperlink" Target="https://www.sec.gov/Archives/edgar/data/1726445/000162828021000787/exhibit42-followonsx1.htm" TargetMode="External"/><Relationship Id="rId45" Type="http://schemas.openxmlformats.org/officeDocument/2006/relationships/hyperlink" Target="https://www.sec.gov/Archives/edgar/data/1726445/000162828020016325/exhibit101-sx1xformofi.htm" TargetMode="External"/><Relationship Id="rId46" Type="http://schemas.openxmlformats.org/officeDocument/2006/relationships/hyperlink" Target="https://www.sec.gov/Archives/edgar/data/1726445/000162828020016863/exhibit102-sx1a1.htm" TargetMode="External"/><Relationship Id="rId47" Type="http://schemas.openxmlformats.org/officeDocument/2006/relationships/hyperlink" Target="https://www.sec.gov/Archives/edgar/data/1726445/000162828020016863/exhibit103-sx1a1.htm" TargetMode="External"/><Relationship Id="rId48" Type="http://schemas.openxmlformats.org/officeDocument/2006/relationships/hyperlink" Target="https://www.sec.gov/Archives/edgar/data/1726445/000162828020016863/exhibit104-sx1a1.htm" TargetMode="External"/><Relationship Id="rId49" Type="http://schemas.openxmlformats.org/officeDocument/2006/relationships/hyperlink" Target="https://www.sec.gov/Archives/edgar/data/1726445/000162828020016863/exhibit105-sx1a1.htm" TargetMode="External"/><Relationship Id="rId50" Type="http://schemas.openxmlformats.org/officeDocument/2006/relationships/hyperlink" Target="https://www.sec.gov/Archives/edgar/data/1726445/000162828020016863/exhibit106-sx1a1.htm" TargetMode="External"/><Relationship Id="rId51" Type="http://schemas.openxmlformats.org/officeDocument/2006/relationships/hyperlink" Target="https://www.sec.gov/Archives/edgar/data/1726445/000162828020016863/exhibit107-sx1a1.htm" TargetMode="External"/><Relationship Id="rId52" Type="http://schemas.openxmlformats.org/officeDocument/2006/relationships/hyperlink" Target="https://www.sec.gov/Archives/edgar/data/1726445/000162828020016863/exhibit108-sx1a1.htm" TargetMode="External"/><Relationship Id="rId53" Type="http://schemas.openxmlformats.org/officeDocument/2006/relationships/hyperlink" Target="https://www.sec.gov/Archives/edgar/data/1726445/000162828020016863/exhibit109-sx1a1.htm" TargetMode="External"/><Relationship Id="rId54" Type="http://schemas.openxmlformats.org/officeDocument/2006/relationships/hyperlink" Target="https://www.sec.gov/Archives/edgar/data/1726445/000162828020016863/exhibit1010-sx1a1.htm" TargetMode="External"/><Relationship Id="rId55" Type="http://schemas.openxmlformats.org/officeDocument/2006/relationships/hyperlink" Target="https://www.sec.gov/Archives/edgar/data/1726445/000162828020016863/exhibit1011-sx1a1.htm" TargetMode="External"/><Relationship Id="rId56" Type="http://schemas.openxmlformats.org/officeDocument/2006/relationships/hyperlink" Target="https://www.sec.gov/Archives/edgar/data/1726445/000162828020016863/exhibit1012-sx1a1.htm" TargetMode="External"/><Relationship Id="rId57" Type="http://schemas.openxmlformats.org/officeDocument/2006/relationships/hyperlink" Target="https://www.sec.gov/Archives/edgar/data/1726445/000162828020016325/exhibit1014-sx1xumbrel.htm" TargetMode="External"/><Relationship Id="rId58" Type="http://schemas.openxmlformats.org/officeDocument/2006/relationships/hyperlink" Target="https://www.sec.gov/Archives/edgar/data/1726445/000162828020016325/exhibit1015-sx1xexclus.htm" TargetMode="External"/><Relationship Id="rId59" Type="http://schemas.openxmlformats.org/officeDocument/2006/relationships/hyperlink" Target="https://www.sec.gov/Archives/edgar/data/1726445/000162828020016325/exhibit1016-sx1xclassa.htm" TargetMode="External"/><Relationship Id="rId60" Type="http://schemas.openxmlformats.org/officeDocument/2006/relationships/hyperlink" Target="https://www.sec.gov/Archives/edgar/data/0001726445/000162828021000787/exhibit211-followon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2021-03-29T16:41:41Z</dcterms:created>
  <dcterms:modified xsi:type="dcterms:W3CDTF">2021-03-29T16:41:41Z</dcterms:modified>
</cp:coreProperties>
</file>